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2AD53" w14:textId="77777777" w:rsidR="001B6ABB" w:rsidRDefault="001B6ABB">
      <w:pPr>
        <w:pStyle w:val="BodyText"/>
        <w:spacing w:before="1"/>
        <w:ind w:left="0"/>
        <w:jc w:val="left"/>
        <w:rPr>
          <w:sz w:val="7"/>
        </w:rPr>
      </w:pPr>
    </w:p>
    <w:p w14:paraId="2A8031FB" w14:textId="77777777" w:rsidR="001B6ABB" w:rsidRDefault="00000000">
      <w:pPr>
        <w:pStyle w:val="BodyText"/>
        <w:ind w:left="107"/>
        <w:jc w:val="left"/>
      </w:pPr>
      <w:r>
        <w:rPr>
          <w:noProof/>
        </w:rPr>
        <mc:AlternateContent>
          <mc:Choice Requires="wpg">
            <w:drawing>
              <wp:inline distT="0" distB="0" distL="0" distR="0" wp14:anchorId="2CCF6BF0" wp14:editId="2C6CA9D9">
                <wp:extent cx="6492875" cy="822960"/>
                <wp:effectExtent l="0" t="0" r="0" b="571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2875" cy="822960"/>
                          <a:chOff x="0" y="0"/>
                          <a:chExt cx="6492875" cy="822960"/>
                        </a:xfrm>
                      </wpg:grpSpPr>
                      <wps:wsp>
                        <wps:cNvPr id="4" name="Graphic 4"/>
                        <wps:cNvSpPr/>
                        <wps:spPr>
                          <a:xfrm>
                            <a:off x="372795" y="3429"/>
                            <a:ext cx="6120130" cy="6350"/>
                          </a:xfrm>
                          <a:custGeom>
                            <a:avLst/>
                            <a:gdLst/>
                            <a:ahLst/>
                            <a:cxnLst/>
                            <a:rect l="l" t="t" r="r" b="b"/>
                            <a:pathLst>
                              <a:path w="6120130" h="6350">
                                <a:moveTo>
                                  <a:pt x="6119748" y="0"/>
                                </a:moveTo>
                                <a:lnTo>
                                  <a:pt x="0" y="0"/>
                                </a:lnTo>
                                <a:lnTo>
                                  <a:pt x="0" y="6096"/>
                                </a:lnTo>
                                <a:lnTo>
                                  <a:pt x="6119748" y="6096"/>
                                </a:lnTo>
                                <a:lnTo>
                                  <a:pt x="61197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0" y="0"/>
                            <a:ext cx="859155" cy="759459"/>
                          </a:xfrm>
                          <a:prstGeom prst="rect">
                            <a:avLst/>
                          </a:prstGeom>
                        </pic:spPr>
                      </pic:pic>
                      <wps:wsp>
                        <wps:cNvPr id="6" name="Textbox 6"/>
                        <wps:cNvSpPr txBox="1"/>
                        <wps:spPr>
                          <a:xfrm>
                            <a:off x="0" y="0"/>
                            <a:ext cx="6492875" cy="822960"/>
                          </a:xfrm>
                          <a:prstGeom prst="rect">
                            <a:avLst/>
                          </a:prstGeom>
                        </wps:spPr>
                        <wps:txbx>
                          <w:txbxContent>
                            <w:p w14:paraId="5D394FAD" w14:textId="77777777" w:rsidR="001B6ABB" w:rsidRDefault="001B6ABB">
                              <w:pPr>
                                <w:spacing w:before="12"/>
                                <w:rPr>
                                  <w:sz w:val="28"/>
                                </w:rPr>
                              </w:pPr>
                            </w:p>
                            <w:p w14:paraId="7AB29914" w14:textId="77777777" w:rsidR="001B6ABB" w:rsidRDefault="00000000">
                              <w:pPr>
                                <w:ind w:left="3410" w:right="447" w:hanging="1945"/>
                                <w:rPr>
                                  <w:b/>
                                  <w:sz w:val="28"/>
                                </w:rPr>
                              </w:pPr>
                              <w:r>
                                <w:rPr>
                                  <w:b/>
                                  <w:sz w:val="28"/>
                                </w:rPr>
                                <w:t>International</w:t>
                              </w:r>
                              <w:r>
                                <w:rPr>
                                  <w:b/>
                                  <w:spacing w:val="-8"/>
                                  <w:sz w:val="28"/>
                                </w:rPr>
                                <w:t xml:space="preserve"> </w:t>
                              </w:r>
                              <w:r>
                                <w:rPr>
                                  <w:b/>
                                  <w:sz w:val="28"/>
                                </w:rPr>
                                <w:t>Journal</w:t>
                              </w:r>
                              <w:r>
                                <w:rPr>
                                  <w:b/>
                                  <w:spacing w:val="-8"/>
                                  <w:sz w:val="28"/>
                                </w:rPr>
                                <w:t xml:space="preserve"> </w:t>
                              </w:r>
                              <w:r>
                                <w:rPr>
                                  <w:b/>
                                  <w:sz w:val="28"/>
                                </w:rPr>
                                <w:t>of</w:t>
                              </w:r>
                              <w:r>
                                <w:rPr>
                                  <w:b/>
                                  <w:spacing w:val="-5"/>
                                  <w:sz w:val="28"/>
                                </w:rPr>
                                <w:t xml:space="preserve"> </w:t>
                              </w:r>
                              <w:r>
                                <w:rPr>
                                  <w:b/>
                                  <w:sz w:val="28"/>
                                </w:rPr>
                                <w:t>Research</w:t>
                              </w:r>
                              <w:r>
                                <w:rPr>
                                  <w:b/>
                                  <w:spacing w:val="-13"/>
                                  <w:sz w:val="28"/>
                                </w:rPr>
                                <w:t xml:space="preserve"> </w:t>
                              </w:r>
                              <w:r>
                                <w:rPr>
                                  <w:b/>
                                  <w:sz w:val="28"/>
                                </w:rPr>
                                <w:t>Development</w:t>
                              </w:r>
                              <w:r>
                                <w:rPr>
                                  <w:b/>
                                  <w:spacing w:val="-9"/>
                                  <w:sz w:val="28"/>
                                </w:rPr>
                                <w:t xml:space="preserve"> </w:t>
                              </w:r>
                              <w:r>
                                <w:rPr>
                                  <w:b/>
                                  <w:sz w:val="28"/>
                                </w:rPr>
                                <w:t>and</w:t>
                              </w:r>
                              <w:r>
                                <w:rPr>
                                  <w:b/>
                                  <w:spacing w:val="-9"/>
                                  <w:sz w:val="28"/>
                                </w:rPr>
                                <w:t xml:space="preserve"> </w:t>
                              </w:r>
                              <w:r>
                                <w:rPr>
                                  <w:b/>
                                  <w:sz w:val="28"/>
                                </w:rPr>
                                <w:t>Technology Vol.2, Issue.2, Year 2024 ISSN: 2584-0290</w:t>
                              </w:r>
                            </w:p>
                            <w:p w14:paraId="30A7906C" w14:textId="77777777" w:rsidR="001B6ABB" w:rsidRDefault="00000000">
                              <w:pPr>
                                <w:spacing w:line="317" w:lineRule="exact"/>
                                <w:ind w:left="4140"/>
                                <w:rPr>
                                  <w:sz w:val="28"/>
                                </w:rPr>
                              </w:pPr>
                              <w:r>
                                <w:rPr>
                                  <w:b/>
                                  <w:sz w:val="28"/>
                                </w:rPr>
                                <w:t>Web:</w:t>
                              </w:r>
                              <w:r>
                                <w:rPr>
                                  <w:b/>
                                  <w:spacing w:val="-8"/>
                                  <w:sz w:val="28"/>
                                </w:rPr>
                                <w:t xml:space="preserve"> </w:t>
                              </w:r>
                              <w:hyperlink r:id="rId8">
                                <w:r>
                                  <w:rPr>
                                    <w:spacing w:val="-2"/>
                                    <w:sz w:val="28"/>
                                    <w:u w:val="single"/>
                                  </w:rPr>
                                  <w:t>www.ijrdt.com</w:t>
                                </w:r>
                              </w:hyperlink>
                            </w:p>
                          </w:txbxContent>
                        </wps:txbx>
                        <wps:bodyPr wrap="square" lIns="0" tIns="0" rIns="0" bIns="0" rtlCol="0">
                          <a:noAutofit/>
                        </wps:bodyPr>
                      </wps:wsp>
                    </wpg:wgp>
                  </a:graphicData>
                </a:graphic>
              </wp:inline>
            </w:drawing>
          </mc:Choice>
          <mc:Fallback>
            <w:pict>
              <v:group w14:anchorId="2CCF6BF0" id="Group 3" o:spid="_x0000_s1026" style="width:511.25pt;height:64.8pt;mso-position-horizontal-relative:char;mso-position-vertical-relative:line" coordsize="64928,8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">
                <v:shape id="Graphic 4" o:spid="_x0000_s1027" style="position:absolute;left:3727;top:34;width:61202;height:63;visibility:visible;mso-wrap-style:square;v-text-anchor:top" coordsize="6120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" path="m6119748,l,,,6096r6119748,l611974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width:8591;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">
                  <v:imagedata r:id="rId9" o:title=""/>
                </v:shape>
                <v:shapetype id="_x0000_t202" coordsize="21600,21600" o:spt="202" path="m,l,21600r21600,l21600,xe">
                  <v:stroke joinstyle="miter"/>
                  <v:path gradientshapeok="t" o:connecttype="rect"/>
                </v:shapetype>
                <v:shape id="Textbox 6" o:spid="_x0000_s1029" type="#_x0000_t202" style="position:absolute;width:64928;height:8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D394FAD" w14:textId="77777777" w:rsidR="001B6ABB" w:rsidRDefault="001B6ABB">
                        <w:pPr>
                          <w:spacing w:before="12"/>
                          <w:rPr>
                            <w:sz w:val="28"/>
                          </w:rPr>
                        </w:pPr>
                      </w:p>
                      <w:p w14:paraId="7AB29914" w14:textId="77777777" w:rsidR="001B6ABB" w:rsidRDefault="00000000">
                        <w:pPr>
                          <w:ind w:left="3410" w:right="447" w:hanging="1945"/>
                          <w:rPr>
                            <w:b/>
                            <w:sz w:val="28"/>
                          </w:rPr>
                        </w:pPr>
                        <w:r>
                          <w:rPr>
                            <w:b/>
                            <w:sz w:val="28"/>
                          </w:rPr>
                          <w:t>International</w:t>
                        </w:r>
                        <w:r>
                          <w:rPr>
                            <w:b/>
                            <w:spacing w:val="-8"/>
                            <w:sz w:val="28"/>
                          </w:rPr>
                          <w:t xml:space="preserve"> </w:t>
                        </w:r>
                        <w:r>
                          <w:rPr>
                            <w:b/>
                            <w:sz w:val="28"/>
                          </w:rPr>
                          <w:t>Journal</w:t>
                        </w:r>
                        <w:r>
                          <w:rPr>
                            <w:b/>
                            <w:spacing w:val="-8"/>
                            <w:sz w:val="28"/>
                          </w:rPr>
                          <w:t xml:space="preserve"> </w:t>
                        </w:r>
                        <w:r>
                          <w:rPr>
                            <w:b/>
                            <w:sz w:val="28"/>
                          </w:rPr>
                          <w:t>of</w:t>
                        </w:r>
                        <w:r>
                          <w:rPr>
                            <w:b/>
                            <w:spacing w:val="-5"/>
                            <w:sz w:val="28"/>
                          </w:rPr>
                          <w:t xml:space="preserve"> </w:t>
                        </w:r>
                        <w:r>
                          <w:rPr>
                            <w:b/>
                            <w:sz w:val="28"/>
                          </w:rPr>
                          <w:t>Research</w:t>
                        </w:r>
                        <w:r>
                          <w:rPr>
                            <w:b/>
                            <w:spacing w:val="-13"/>
                            <w:sz w:val="28"/>
                          </w:rPr>
                          <w:t xml:space="preserve"> </w:t>
                        </w:r>
                        <w:r>
                          <w:rPr>
                            <w:b/>
                            <w:sz w:val="28"/>
                          </w:rPr>
                          <w:t>Development</w:t>
                        </w:r>
                        <w:r>
                          <w:rPr>
                            <w:b/>
                            <w:spacing w:val="-9"/>
                            <w:sz w:val="28"/>
                          </w:rPr>
                          <w:t xml:space="preserve"> </w:t>
                        </w:r>
                        <w:r>
                          <w:rPr>
                            <w:b/>
                            <w:sz w:val="28"/>
                          </w:rPr>
                          <w:t>and</w:t>
                        </w:r>
                        <w:r>
                          <w:rPr>
                            <w:b/>
                            <w:spacing w:val="-9"/>
                            <w:sz w:val="28"/>
                          </w:rPr>
                          <w:t xml:space="preserve"> </w:t>
                        </w:r>
                        <w:r>
                          <w:rPr>
                            <w:b/>
                            <w:sz w:val="28"/>
                          </w:rPr>
                          <w:t>Technology Vol.2, Issue.2, Year 2024 ISSN: 2584-0290</w:t>
                        </w:r>
                      </w:p>
                      <w:p w14:paraId="30A7906C" w14:textId="77777777" w:rsidR="001B6ABB" w:rsidRDefault="00000000">
                        <w:pPr>
                          <w:spacing w:line="317" w:lineRule="exact"/>
                          <w:ind w:left="4140"/>
                          <w:rPr>
                            <w:sz w:val="28"/>
                          </w:rPr>
                        </w:pPr>
                        <w:r>
                          <w:rPr>
                            <w:b/>
                            <w:sz w:val="28"/>
                          </w:rPr>
                          <w:t>Web:</w:t>
                        </w:r>
                        <w:r>
                          <w:rPr>
                            <w:b/>
                            <w:spacing w:val="-8"/>
                            <w:sz w:val="28"/>
                          </w:rPr>
                          <w:t xml:space="preserve"> </w:t>
                        </w:r>
                        <w:hyperlink r:id="rId10">
                          <w:r>
                            <w:rPr>
                              <w:spacing w:val="-2"/>
                              <w:sz w:val="28"/>
                              <w:u w:val="single"/>
                            </w:rPr>
                            <w:t>www.ijrdt.com</w:t>
                          </w:r>
                        </w:hyperlink>
                      </w:p>
                    </w:txbxContent>
                  </v:textbox>
                </v:shape>
                <w10:anchorlock/>
              </v:group>
            </w:pict>
          </mc:Fallback>
        </mc:AlternateContent>
      </w:r>
    </w:p>
    <w:p w14:paraId="130A2215" w14:textId="77777777" w:rsidR="001B6ABB" w:rsidRDefault="00000000">
      <w:pPr>
        <w:pStyle w:val="BodyText"/>
        <w:spacing w:line="75" w:lineRule="exact"/>
        <w:ind w:left="615"/>
        <w:jc w:val="left"/>
        <w:rPr>
          <w:sz w:val="7"/>
        </w:rPr>
      </w:pPr>
      <w:r>
        <w:rPr>
          <w:noProof/>
          <w:position w:val="-1"/>
          <w:sz w:val="7"/>
        </w:rPr>
        <mc:AlternateContent>
          <mc:Choice Requires="wpg">
            <w:drawing>
              <wp:inline distT="0" distB="0" distL="0" distR="0" wp14:anchorId="5FBCA8E2" wp14:editId="63A7CD63">
                <wp:extent cx="6315075" cy="57150"/>
                <wp:effectExtent l="9525" t="0" r="0" b="952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5075" cy="57150"/>
                          <a:chOff x="0" y="0"/>
                          <a:chExt cx="6315075" cy="57150"/>
                        </a:xfrm>
                      </wpg:grpSpPr>
                      <wps:wsp>
                        <wps:cNvPr id="8" name="Graphic 8"/>
                        <wps:cNvSpPr/>
                        <wps:spPr>
                          <a:xfrm>
                            <a:off x="4762" y="4762"/>
                            <a:ext cx="6305550" cy="47625"/>
                          </a:xfrm>
                          <a:custGeom>
                            <a:avLst/>
                            <a:gdLst/>
                            <a:ahLst/>
                            <a:cxnLst/>
                            <a:rect l="l" t="t" r="r" b="b"/>
                            <a:pathLst>
                              <a:path w="6305550" h="47625">
                                <a:moveTo>
                                  <a:pt x="0" y="47625"/>
                                </a:moveTo>
                                <a:lnTo>
                                  <a:pt x="63055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188A27" id="Group 7" o:spid="_x0000_s1026" style="width:497.25pt;height:4.5pt;mso-position-horizontal-relative:char;mso-position-vertical-relative:line" coordsize="6315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">
                <v:shape id="Graphic 8" o:spid="_x0000_s1027" style="position:absolute;left:47;top:47;width:63056;height:476;visibility:visible;mso-wrap-style:square;v-text-anchor:top" coordsize="630555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" path="m,47625l6305550,e" filled="f">
                  <v:path arrowok="t"/>
                </v:shape>
                <w10:anchorlock/>
              </v:group>
            </w:pict>
          </mc:Fallback>
        </mc:AlternateContent>
      </w:r>
    </w:p>
    <w:p w14:paraId="06CA4671" w14:textId="77777777" w:rsidR="001B6ABB" w:rsidRDefault="001B6ABB">
      <w:pPr>
        <w:pStyle w:val="BodyText"/>
        <w:spacing w:before="72"/>
        <w:ind w:left="0"/>
        <w:jc w:val="left"/>
        <w:rPr>
          <w:sz w:val="28"/>
        </w:rPr>
      </w:pPr>
    </w:p>
    <w:p w14:paraId="18FD031E" w14:textId="77777777" w:rsidR="001B6ABB" w:rsidRDefault="00000000">
      <w:pPr>
        <w:pStyle w:val="Title"/>
        <w:spacing w:line="276" w:lineRule="auto"/>
      </w:pPr>
      <w:r>
        <w:t>INVESTIGATING</w:t>
      </w:r>
      <w:r>
        <w:rPr>
          <w:spacing w:val="-11"/>
        </w:rPr>
        <w:t xml:space="preserve"> </w:t>
      </w:r>
      <w:r>
        <w:t>THE</w:t>
      </w:r>
      <w:r>
        <w:rPr>
          <w:spacing w:val="-10"/>
        </w:rPr>
        <w:t xml:space="preserve"> </w:t>
      </w:r>
      <w:r>
        <w:t>ESTROGENIC</w:t>
      </w:r>
      <w:r>
        <w:rPr>
          <w:spacing w:val="-7"/>
        </w:rPr>
        <w:t xml:space="preserve"> </w:t>
      </w:r>
      <w:r>
        <w:t>EFFECTS</w:t>
      </w:r>
      <w:r>
        <w:rPr>
          <w:spacing w:val="-12"/>
        </w:rPr>
        <w:t xml:space="preserve"> </w:t>
      </w:r>
      <w:r>
        <w:t>OF TEST ITEMS VIA ORAL ADMINISTRATION IN A FEMALE RAT OVARIECTOMY MODEL</w:t>
      </w:r>
    </w:p>
    <w:p w14:paraId="3D6D53DD" w14:textId="77777777" w:rsidR="001B6ABB" w:rsidRDefault="00000000">
      <w:pPr>
        <w:spacing w:line="242" w:lineRule="auto"/>
        <w:ind w:left="939" w:right="965"/>
        <w:jc w:val="center"/>
        <w:rPr>
          <w:sz w:val="24"/>
        </w:rPr>
      </w:pPr>
      <w:r>
        <w:rPr>
          <w:sz w:val="24"/>
          <w:vertAlign w:val="superscript"/>
        </w:rPr>
        <w:t>1</w:t>
      </w:r>
      <w:r>
        <w:rPr>
          <w:sz w:val="24"/>
        </w:rPr>
        <w:t>Vivek</w:t>
      </w:r>
      <w:r>
        <w:rPr>
          <w:spacing w:val="-5"/>
          <w:sz w:val="24"/>
        </w:rPr>
        <w:t xml:space="preserve"> </w:t>
      </w:r>
      <w:r>
        <w:rPr>
          <w:sz w:val="24"/>
        </w:rPr>
        <w:t>Jeet Singh</w:t>
      </w:r>
      <w:r>
        <w:rPr>
          <w:spacing w:val="-7"/>
          <w:sz w:val="24"/>
        </w:rPr>
        <w:t xml:space="preserve"> </w:t>
      </w:r>
      <w:r>
        <w:rPr>
          <w:sz w:val="24"/>
        </w:rPr>
        <w:t>(Research</w:t>
      </w:r>
      <w:r>
        <w:rPr>
          <w:spacing w:val="-7"/>
          <w:sz w:val="24"/>
        </w:rPr>
        <w:t xml:space="preserve"> </w:t>
      </w:r>
      <w:r>
        <w:rPr>
          <w:sz w:val="24"/>
        </w:rPr>
        <w:t>Scholar),</w:t>
      </w:r>
      <w:r>
        <w:rPr>
          <w:spacing w:val="-20"/>
          <w:sz w:val="24"/>
        </w:rPr>
        <w:t xml:space="preserve"> </w:t>
      </w:r>
      <w:r>
        <w:rPr>
          <w:sz w:val="24"/>
          <w:vertAlign w:val="superscript"/>
        </w:rPr>
        <w:t>2</w:t>
      </w:r>
      <w:r>
        <w:rPr>
          <w:sz w:val="24"/>
        </w:rPr>
        <w:t>Dr.</w:t>
      </w:r>
      <w:r>
        <w:rPr>
          <w:spacing w:val="-1"/>
          <w:sz w:val="24"/>
        </w:rPr>
        <w:t xml:space="preserve"> </w:t>
      </w:r>
      <w:r>
        <w:rPr>
          <w:sz w:val="24"/>
        </w:rPr>
        <w:t>Nasiruddin</w:t>
      </w:r>
      <w:r>
        <w:rPr>
          <w:spacing w:val="-7"/>
          <w:sz w:val="24"/>
        </w:rPr>
        <w:t xml:space="preserve"> </w:t>
      </w:r>
      <w:r>
        <w:rPr>
          <w:sz w:val="24"/>
        </w:rPr>
        <w:t>Ahmad Farooqui</w:t>
      </w:r>
      <w:r>
        <w:rPr>
          <w:spacing w:val="40"/>
          <w:sz w:val="24"/>
        </w:rPr>
        <w:t xml:space="preserve"> </w:t>
      </w:r>
      <w:r>
        <w:rPr>
          <w:sz w:val="24"/>
          <w:vertAlign w:val="superscript"/>
        </w:rPr>
        <w:t>3</w:t>
      </w:r>
      <w:r>
        <w:rPr>
          <w:sz w:val="24"/>
        </w:rPr>
        <w:t>Dr.</w:t>
      </w:r>
      <w:r>
        <w:rPr>
          <w:spacing w:val="-1"/>
          <w:sz w:val="24"/>
        </w:rPr>
        <w:t xml:space="preserve"> </w:t>
      </w:r>
      <w:r>
        <w:rPr>
          <w:sz w:val="24"/>
        </w:rPr>
        <w:t xml:space="preserve">Shamim </w:t>
      </w:r>
      <w:r>
        <w:rPr>
          <w:spacing w:val="-2"/>
          <w:sz w:val="24"/>
        </w:rPr>
        <w:t>Ahmad,</w:t>
      </w:r>
    </w:p>
    <w:p w14:paraId="26372771" w14:textId="77777777" w:rsidR="001B6ABB" w:rsidRDefault="00000000">
      <w:pPr>
        <w:spacing w:before="155"/>
        <w:ind w:right="39"/>
        <w:jc w:val="center"/>
        <w:rPr>
          <w:sz w:val="24"/>
        </w:rPr>
      </w:pPr>
      <w:proofErr w:type="spellStart"/>
      <w:r>
        <w:rPr>
          <w:sz w:val="24"/>
        </w:rPr>
        <w:t>Translam</w:t>
      </w:r>
      <w:proofErr w:type="spellEnd"/>
      <w:r>
        <w:rPr>
          <w:spacing w:val="-8"/>
          <w:sz w:val="24"/>
        </w:rPr>
        <w:t xml:space="preserve"> </w:t>
      </w:r>
      <w:r>
        <w:rPr>
          <w:sz w:val="24"/>
        </w:rPr>
        <w:t>Institute</w:t>
      </w:r>
      <w:r>
        <w:rPr>
          <w:spacing w:val="-4"/>
          <w:sz w:val="24"/>
        </w:rPr>
        <w:t xml:space="preserve"> </w:t>
      </w:r>
      <w:r>
        <w:rPr>
          <w:sz w:val="24"/>
        </w:rPr>
        <w:t>of</w:t>
      </w:r>
      <w:r>
        <w:rPr>
          <w:spacing w:val="-7"/>
          <w:sz w:val="24"/>
        </w:rPr>
        <w:t xml:space="preserve"> </w:t>
      </w:r>
      <w:r>
        <w:rPr>
          <w:sz w:val="24"/>
        </w:rPr>
        <w:t>Pharmaceutical</w:t>
      </w:r>
      <w:r>
        <w:rPr>
          <w:spacing w:val="-1"/>
          <w:sz w:val="24"/>
        </w:rPr>
        <w:t xml:space="preserve"> </w:t>
      </w:r>
      <w:r>
        <w:rPr>
          <w:sz w:val="24"/>
        </w:rPr>
        <w:t>Education</w:t>
      </w:r>
      <w:r>
        <w:rPr>
          <w:spacing w:val="-3"/>
          <w:sz w:val="24"/>
        </w:rPr>
        <w:t xml:space="preserve"> </w:t>
      </w:r>
      <w:r>
        <w:rPr>
          <w:sz w:val="24"/>
        </w:rPr>
        <w:t>&amp;</w:t>
      </w:r>
      <w:r>
        <w:rPr>
          <w:spacing w:val="1"/>
          <w:sz w:val="24"/>
        </w:rPr>
        <w:t xml:space="preserve"> </w:t>
      </w:r>
      <w:r>
        <w:rPr>
          <w:sz w:val="24"/>
        </w:rPr>
        <w:t>Research</w:t>
      </w:r>
      <w:r>
        <w:rPr>
          <w:spacing w:val="-3"/>
          <w:sz w:val="24"/>
        </w:rPr>
        <w:t xml:space="preserve"> </w:t>
      </w:r>
      <w:r>
        <w:rPr>
          <w:sz w:val="24"/>
        </w:rPr>
        <w:t>Meerut</w:t>
      </w:r>
      <w:r>
        <w:rPr>
          <w:spacing w:val="7"/>
          <w:sz w:val="24"/>
        </w:rPr>
        <w:t xml:space="preserve"> </w:t>
      </w:r>
      <w:r>
        <w:rPr>
          <w:spacing w:val="-5"/>
          <w:sz w:val="24"/>
        </w:rPr>
        <w:t>U.P</w:t>
      </w:r>
    </w:p>
    <w:p w14:paraId="2CF0F1F1" w14:textId="77777777" w:rsidR="001B6ABB" w:rsidRDefault="00000000">
      <w:pPr>
        <w:spacing w:before="166"/>
        <w:ind w:right="42"/>
        <w:jc w:val="center"/>
        <w:rPr>
          <w:b/>
          <w:sz w:val="24"/>
        </w:rPr>
      </w:pPr>
      <w:r>
        <w:rPr>
          <w:b/>
          <w:sz w:val="24"/>
        </w:rPr>
        <w:t>Email</w:t>
      </w:r>
      <w:r>
        <w:rPr>
          <w:b/>
          <w:spacing w:val="-3"/>
          <w:sz w:val="24"/>
        </w:rPr>
        <w:t xml:space="preserve"> </w:t>
      </w:r>
      <w:r>
        <w:rPr>
          <w:b/>
          <w:sz w:val="24"/>
        </w:rPr>
        <w:t>id:</w:t>
      </w:r>
      <w:r>
        <w:rPr>
          <w:b/>
          <w:spacing w:val="5"/>
          <w:sz w:val="24"/>
        </w:rPr>
        <w:t xml:space="preserve"> </w:t>
      </w:r>
      <w:hyperlink r:id="rId11">
        <w:r>
          <w:rPr>
            <w:b/>
            <w:color w:val="0462C1"/>
            <w:spacing w:val="-2"/>
            <w:sz w:val="24"/>
            <w:u w:val="single" w:color="0462C1"/>
          </w:rPr>
          <w:t>vivekjeetsingh0987@gmail.com</w:t>
        </w:r>
      </w:hyperlink>
    </w:p>
    <w:p w14:paraId="327E86DD" w14:textId="77777777" w:rsidR="001B6ABB" w:rsidRDefault="00000000">
      <w:pPr>
        <w:spacing w:before="161"/>
        <w:ind w:left="939" w:right="971"/>
        <w:jc w:val="center"/>
        <w:rPr>
          <w:b/>
        </w:rPr>
      </w:pPr>
      <w:r>
        <w:rPr>
          <w:b/>
          <w:spacing w:val="-2"/>
        </w:rPr>
        <w:t>**********************************************************************************</w:t>
      </w:r>
    </w:p>
    <w:p w14:paraId="3B089DBC" w14:textId="77777777" w:rsidR="001B6ABB" w:rsidRDefault="00000000">
      <w:pPr>
        <w:spacing w:before="178"/>
        <w:ind w:left="900"/>
        <w:rPr>
          <w:b/>
          <w:i/>
          <w:sz w:val="20"/>
        </w:rPr>
      </w:pPr>
      <w:r>
        <w:rPr>
          <w:b/>
          <w:i/>
          <w:spacing w:val="-2"/>
          <w:sz w:val="20"/>
        </w:rPr>
        <w:t>ABSTRACT</w:t>
      </w:r>
    </w:p>
    <w:p w14:paraId="5497F9C8" w14:textId="77777777" w:rsidR="001B6ABB" w:rsidRDefault="00000000">
      <w:pPr>
        <w:spacing w:before="154"/>
        <w:ind w:left="900" w:right="928"/>
        <w:jc w:val="both"/>
        <w:rPr>
          <w:i/>
          <w:sz w:val="20"/>
        </w:rPr>
      </w:pPr>
      <w:r>
        <w:rPr>
          <w:i/>
          <w:sz w:val="20"/>
        </w:rPr>
        <w:t xml:space="preserve">To evaluate the effects of estrogen and estrogenic compounds on cognition in ovariectomized rats. Female Albino </w:t>
      </w:r>
      <w:proofErr w:type="spellStart"/>
      <w:r>
        <w:rPr>
          <w:i/>
          <w:sz w:val="20"/>
        </w:rPr>
        <w:t>wistar</w:t>
      </w:r>
      <w:proofErr w:type="spellEnd"/>
      <w:r>
        <w:rPr>
          <w:i/>
          <w:sz w:val="20"/>
        </w:rPr>
        <w:t xml:space="preserve"> rats (3–5 months old) weighing 250–300g was randomly divided into seven groups: Sham, ovariectomized (OVX), OVX plus estradiol valerate, OVX plus </w:t>
      </w:r>
      <w:proofErr w:type="spellStart"/>
      <w:r>
        <w:rPr>
          <w:i/>
          <w:sz w:val="20"/>
        </w:rPr>
        <w:t>ipriflavone</w:t>
      </w:r>
      <w:proofErr w:type="spellEnd"/>
      <w:r>
        <w:rPr>
          <w:i/>
          <w:sz w:val="20"/>
        </w:rPr>
        <w:t>, OVX plus raloxifene, OVX plus tibolone, OVX plus low-dose estradiol</w:t>
      </w:r>
      <w:r>
        <w:rPr>
          <w:i/>
          <w:spacing w:val="80"/>
          <w:sz w:val="20"/>
        </w:rPr>
        <w:t xml:space="preserve"> </w:t>
      </w:r>
      <w:r>
        <w:rPr>
          <w:i/>
          <w:sz w:val="20"/>
        </w:rPr>
        <w:t xml:space="preserve">valerate and </w:t>
      </w:r>
      <w:proofErr w:type="spellStart"/>
      <w:r>
        <w:rPr>
          <w:i/>
          <w:sz w:val="20"/>
        </w:rPr>
        <w:t>ipriflavone</w:t>
      </w:r>
      <w:proofErr w:type="spellEnd"/>
      <w:r>
        <w:rPr>
          <w:i/>
          <w:sz w:val="20"/>
        </w:rPr>
        <w:t>.</w:t>
      </w:r>
      <w:r>
        <w:rPr>
          <w:i/>
          <w:spacing w:val="40"/>
          <w:sz w:val="20"/>
        </w:rPr>
        <w:t xml:space="preserve"> </w:t>
      </w:r>
      <w:r>
        <w:rPr>
          <w:i/>
          <w:sz w:val="20"/>
        </w:rPr>
        <w:t>All</w:t>
      </w:r>
      <w:r>
        <w:rPr>
          <w:i/>
          <w:spacing w:val="80"/>
          <w:sz w:val="20"/>
        </w:rPr>
        <w:t xml:space="preserve"> </w:t>
      </w:r>
      <w:r>
        <w:rPr>
          <w:i/>
          <w:sz w:val="20"/>
        </w:rPr>
        <w:t>treatments</w:t>
      </w:r>
      <w:r>
        <w:rPr>
          <w:i/>
          <w:spacing w:val="80"/>
          <w:sz w:val="20"/>
        </w:rPr>
        <w:t xml:space="preserve"> </w:t>
      </w:r>
      <w:r>
        <w:rPr>
          <w:i/>
          <w:sz w:val="20"/>
        </w:rPr>
        <w:t>were</w:t>
      </w:r>
      <w:r>
        <w:rPr>
          <w:i/>
          <w:spacing w:val="80"/>
          <w:sz w:val="20"/>
        </w:rPr>
        <w:t xml:space="preserve"> </w:t>
      </w:r>
      <w:r>
        <w:rPr>
          <w:i/>
          <w:sz w:val="20"/>
        </w:rPr>
        <w:t>given orally for 3 months; whereas the drug groups received indicated drugs, the Sham and OVX control groups received saline. The escape latency of rats was tested by the Morris water maze test and the expression of amyloid precursor protein (APP) in hippocampus was determined by reverse transcription polymerase chain reaction. The level of serum estradiol and the diameter of the endometrial gland and the thickness of endometrium were also evaluated. The latency of the OVX group was noticeably longer than that of the Sham group, and the latency of all treatment groups was lower than</w:t>
      </w:r>
      <w:r>
        <w:rPr>
          <w:i/>
          <w:spacing w:val="-5"/>
          <w:sz w:val="20"/>
        </w:rPr>
        <w:t xml:space="preserve"> </w:t>
      </w:r>
      <w:r>
        <w:rPr>
          <w:i/>
          <w:sz w:val="20"/>
        </w:rPr>
        <w:t>that of OVX rats. The expression of APP mRNA</w:t>
      </w:r>
      <w:r>
        <w:rPr>
          <w:i/>
          <w:spacing w:val="-3"/>
          <w:sz w:val="20"/>
        </w:rPr>
        <w:t xml:space="preserve"> </w:t>
      </w:r>
      <w:r>
        <w:rPr>
          <w:i/>
          <w:sz w:val="20"/>
        </w:rPr>
        <w:t xml:space="preserve">in the </w:t>
      </w:r>
      <w:proofErr w:type="spellStart"/>
      <w:r>
        <w:rPr>
          <w:i/>
          <w:sz w:val="20"/>
        </w:rPr>
        <w:t>hippocampii</w:t>
      </w:r>
      <w:proofErr w:type="spellEnd"/>
      <w:r>
        <w:rPr>
          <w:i/>
          <w:sz w:val="20"/>
        </w:rPr>
        <w:t xml:space="preserve"> of OVX rats was significantly increased relative to that in Sham rats; interestingly, expression of APP in treatment groups was significantly reduced relative to OVX rats.</w:t>
      </w:r>
    </w:p>
    <w:p w14:paraId="6556483E" w14:textId="77777777" w:rsidR="001B6ABB" w:rsidRDefault="00000000">
      <w:pPr>
        <w:spacing w:before="160"/>
        <w:ind w:left="900"/>
        <w:jc w:val="both"/>
        <w:rPr>
          <w:i/>
          <w:sz w:val="20"/>
        </w:rPr>
      </w:pPr>
      <w:r>
        <w:rPr>
          <w:b/>
          <w:i/>
          <w:sz w:val="20"/>
        </w:rPr>
        <w:t>Keywords:</w:t>
      </w:r>
      <w:r>
        <w:rPr>
          <w:b/>
          <w:i/>
          <w:spacing w:val="-13"/>
          <w:sz w:val="20"/>
        </w:rPr>
        <w:t xml:space="preserve"> </w:t>
      </w:r>
      <w:r>
        <w:rPr>
          <w:i/>
          <w:sz w:val="20"/>
        </w:rPr>
        <w:t>Estrogenic</w:t>
      </w:r>
      <w:r>
        <w:rPr>
          <w:i/>
          <w:spacing w:val="-10"/>
          <w:sz w:val="20"/>
        </w:rPr>
        <w:t xml:space="preserve"> </w:t>
      </w:r>
      <w:r>
        <w:rPr>
          <w:i/>
          <w:sz w:val="20"/>
        </w:rPr>
        <w:t>Effects,</w:t>
      </w:r>
      <w:r>
        <w:rPr>
          <w:i/>
          <w:spacing w:val="-11"/>
          <w:sz w:val="20"/>
        </w:rPr>
        <w:t xml:space="preserve"> </w:t>
      </w:r>
      <w:r>
        <w:rPr>
          <w:i/>
          <w:sz w:val="20"/>
        </w:rPr>
        <w:t>Estrogenic</w:t>
      </w:r>
      <w:r>
        <w:rPr>
          <w:i/>
          <w:spacing w:val="-12"/>
          <w:sz w:val="20"/>
        </w:rPr>
        <w:t xml:space="preserve"> </w:t>
      </w:r>
      <w:r>
        <w:rPr>
          <w:i/>
          <w:sz w:val="20"/>
        </w:rPr>
        <w:t>compounds,</w:t>
      </w:r>
      <w:r>
        <w:rPr>
          <w:i/>
          <w:spacing w:val="-6"/>
          <w:sz w:val="20"/>
        </w:rPr>
        <w:t xml:space="preserve"> </w:t>
      </w:r>
      <w:proofErr w:type="spellStart"/>
      <w:r>
        <w:rPr>
          <w:i/>
          <w:sz w:val="20"/>
        </w:rPr>
        <w:t>Hippocampii</w:t>
      </w:r>
      <w:proofErr w:type="spellEnd"/>
      <w:r>
        <w:rPr>
          <w:i/>
          <w:sz w:val="20"/>
        </w:rPr>
        <w:t>,</w:t>
      </w:r>
      <w:r>
        <w:rPr>
          <w:i/>
          <w:spacing w:val="-8"/>
          <w:sz w:val="20"/>
        </w:rPr>
        <w:t xml:space="preserve"> </w:t>
      </w:r>
      <w:r>
        <w:rPr>
          <w:i/>
          <w:spacing w:val="-2"/>
          <w:sz w:val="20"/>
        </w:rPr>
        <w:t>Ovariectomized</w:t>
      </w:r>
    </w:p>
    <w:p w14:paraId="3A1E6384" w14:textId="77777777" w:rsidR="001B6ABB" w:rsidRDefault="00000000">
      <w:pPr>
        <w:spacing w:before="168"/>
        <w:ind w:left="939" w:right="975"/>
        <w:jc w:val="center"/>
        <w:rPr>
          <w:b/>
          <w:sz w:val="20"/>
        </w:rPr>
      </w:pPr>
      <w:r>
        <w:rPr>
          <w:b/>
          <w:spacing w:val="-2"/>
          <w:sz w:val="20"/>
        </w:rPr>
        <w:t>**********************************************************************************</w:t>
      </w:r>
    </w:p>
    <w:p w14:paraId="3ADC957F" w14:textId="77777777" w:rsidR="001B6ABB" w:rsidRDefault="001B6ABB">
      <w:pPr>
        <w:jc w:val="center"/>
        <w:rPr>
          <w:sz w:val="20"/>
        </w:rPr>
        <w:sectPr w:rsidR="001B6ABB">
          <w:headerReference w:type="default" r:id="rId12"/>
          <w:type w:val="continuous"/>
          <w:pgSz w:w="11910" w:h="16840"/>
          <w:pgMar w:top="1340" w:right="500" w:bottom="280" w:left="540" w:header="578" w:footer="0" w:gutter="0"/>
          <w:pgNumType w:start="1"/>
          <w:cols w:space="720"/>
        </w:sectPr>
      </w:pPr>
    </w:p>
    <w:p w14:paraId="3B5FFB1C" w14:textId="77777777" w:rsidR="001B6ABB" w:rsidRDefault="00000000">
      <w:pPr>
        <w:spacing w:before="179"/>
        <w:ind w:left="900"/>
        <w:rPr>
          <w:b/>
          <w:sz w:val="24"/>
        </w:rPr>
      </w:pPr>
      <w:r>
        <w:rPr>
          <w:b/>
          <w:spacing w:val="-2"/>
          <w:sz w:val="24"/>
        </w:rPr>
        <w:t>Introduction:</w:t>
      </w:r>
    </w:p>
    <w:p w14:paraId="6C313012" w14:textId="77777777" w:rsidR="001B6ABB" w:rsidRDefault="00000000">
      <w:pPr>
        <w:pStyle w:val="BodyText"/>
        <w:spacing w:before="151"/>
        <w:ind w:left="900"/>
      </w:pPr>
      <w:r>
        <w:t>Estrogen is a steroid hormone associated with the female reproductive organs and is responsible for developing female sexual characteristics. Estrogen is often referred to</w:t>
      </w:r>
      <w:r>
        <w:rPr>
          <w:spacing w:val="-3"/>
        </w:rPr>
        <w:t xml:space="preserve"> </w:t>
      </w:r>
      <w:r>
        <w:t>as estrone, estradiol, and estriol. Of the previously mentioned forms of estrogen, estradiol is the most common form of estrogen hormone for hormone replacement therapy (HRT) in the treatment of symptoms of menopause. Estrogen for hormone replacement therapy has</w:t>
      </w:r>
      <w:r>
        <w:rPr>
          <w:spacing w:val="40"/>
        </w:rPr>
        <w:t xml:space="preserve"> </w:t>
      </w:r>
      <w:r>
        <w:t>been heavily researched in medicine and remains a controversial topic. According to early studies, estrogen as hormone replacement therapy for postmenopausal</w:t>
      </w:r>
      <w:r>
        <w:rPr>
          <w:spacing w:val="-4"/>
        </w:rPr>
        <w:t xml:space="preserve"> </w:t>
      </w:r>
      <w:r>
        <w:t>women</w:t>
      </w:r>
      <w:r>
        <w:rPr>
          <w:spacing w:val="-1"/>
        </w:rPr>
        <w:t xml:space="preserve"> </w:t>
      </w:r>
      <w:r>
        <w:t>showed</w:t>
      </w:r>
      <w:r>
        <w:rPr>
          <w:spacing w:val="-5"/>
        </w:rPr>
        <w:t xml:space="preserve"> </w:t>
      </w:r>
      <w:r>
        <w:t>promising</w:t>
      </w:r>
      <w:r>
        <w:rPr>
          <w:spacing w:val="-5"/>
        </w:rPr>
        <w:t xml:space="preserve"> </w:t>
      </w:r>
      <w:r>
        <w:t>benefits of decreased risk of osteoporosis, coronary arterial disease, and mortality [1].</w:t>
      </w:r>
    </w:p>
    <w:p w14:paraId="360E06A5" w14:textId="77777777" w:rsidR="001B6ABB" w:rsidRDefault="00000000">
      <w:pPr>
        <w:pStyle w:val="BodyText"/>
        <w:spacing w:before="161"/>
        <w:ind w:left="900"/>
      </w:pPr>
      <w:r>
        <w:t xml:space="preserve">Later studies conducted by the Women's Health Initiative concluded that risk was greater than the </w:t>
      </w:r>
      <w:proofErr w:type="gramStart"/>
      <w:r>
        <w:t>benefit</w:t>
      </w:r>
      <w:r>
        <w:rPr>
          <w:spacing w:val="47"/>
        </w:rPr>
        <w:t xml:space="preserve">  </w:t>
      </w:r>
      <w:r>
        <w:t>of</w:t>
      </w:r>
      <w:proofErr w:type="gramEnd"/>
      <w:r>
        <w:rPr>
          <w:spacing w:val="44"/>
        </w:rPr>
        <w:t xml:space="preserve">  </w:t>
      </w:r>
      <w:r>
        <w:t>hormone</w:t>
      </w:r>
      <w:r>
        <w:rPr>
          <w:spacing w:val="43"/>
        </w:rPr>
        <w:t xml:space="preserve">  </w:t>
      </w:r>
      <w:r>
        <w:t>replacement</w:t>
      </w:r>
      <w:r>
        <w:rPr>
          <w:spacing w:val="45"/>
        </w:rPr>
        <w:t xml:space="preserve">  </w:t>
      </w:r>
      <w:r>
        <w:t>therapy</w:t>
      </w:r>
      <w:r>
        <w:rPr>
          <w:spacing w:val="42"/>
        </w:rPr>
        <w:t xml:space="preserve">  </w:t>
      </w:r>
      <w:r>
        <w:rPr>
          <w:spacing w:val="-7"/>
        </w:rPr>
        <w:t>in</w:t>
      </w:r>
    </w:p>
    <w:p w14:paraId="5321B531" w14:textId="77777777" w:rsidR="001B6ABB" w:rsidRDefault="00000000">
      <w:pPr>
        <w:pStyle w:val="BodyText"/>
        <w:spacing w:before="173"/>
        <w:ind w:left="680" w:right="925"/>
      </w:pPr>
      <w:r>
        <w:br w:type="column"/>
      </w:r>
      <w:r>
        <w:t>postmenopausal women. The Women's Health Initiative ended clinical studies prematurely</w:t>
      </w:r>
      <w:r>
        <w:rPr>
          <w:spacing w:val="40"/>
        </w:rPr>
        <w:t xml:space="preserve"> </w:t>
      </w:r>
      <w:r>
        <w:t>because participants in the study developed an increased risk of breast cancer and coronary artery disease [2].</w:t>
      </w:r>
    </w:p>
    <w:p w14:paraId="4F30FD0E" w14:textId="77777777" w:rsidR="001B6ABB" w:rsidRDefault="00000000">
      <w:pPr>
        <w:pStyle w:val="BodyText"/>
        <w:spacing w:before="157"/>
        <w:ind w:left="680" w:right="931"/>
      </w:pPr>
      <w:r>
        <w:t>Newer studies contradict the finding of the Women's Health Initiative, with evidence of improved quality of life and reduced risk of coronary</w:t>
      </w:r>
      <w:r>
        <w:rPr>
          <w:spacing w:val="-1"/>
        </w:rPr>
        <w:t xml:space="preserve"> </w:t>
      </w:r>
      <w:r>
        <w:t>artery</w:t>
      </w:r>
      <w:r>
        <w:rPr>
          <w:spacing w:val="-1"/>
        </w:rPr>
        <w:t xml:space="preserve"> </w:t>
      </w:r>
      <w:r>
        <w:t>disease and osteoporosis in women when women start estrogen hormone replacement therapy at the onset of menopause [3].</w:t>
      </w:r>
    </w:p>
    <w:p w14:paraId="2568DD47" w14:textId="77777777" w:rsidR="001B6ABB" w:rsidRDefault="00000000">
      <w:pPr>
        <w:pStyle w:val="BodyText"/>
        <w:spacing w:before="161"/>
        <w:ind w:left="680" w:right="931"/>
      </w:pPr>
      <w:r>
        <w:t>The FDA has approved estrogen for hormone replacement therapy in the treatment of symptoms of menopause. Synthetic estrogen is also available for clinical</w:t>
      </w:r>
      <w:r>
        <w:rPr>
          <w:spacing w:val="-2"/>
        </w:rPr>
        <w:t xml:space="preserve"> </w:t>
      </w:r>
      <w:r>
        <w:t>use,</w:t>
      </w:r>
      <w:r>
        <w:rPr>
          <w:spacing w:val="-5"/>
        </w:rPr>
        <w:t xml:space="preserve"> </w:t>
      </w:r>
      <w:r>
        <w:t>designed</w:t>
      </w:r>
      <w:r>
        <w:rPr>
          <w:spacing w:val="-3"/>
        </w:rPr>
        <w:t xml:space="preserve"> </w:t>
      </w:r>
      <w:r>
        <w:t>to</w:t>
      </w:r>
      <w:r>
        <w:rPr>
          <w:spacing w:val="-8"/>
        </w:rPr>
        <w:t xml:space="preserve"> </w:t>
      </w:r>
      <w:r>
        <w:t>increase</w:t>
      </w:r>
      <w:r>
        <w:rPr>
          <w:spacing w:val="-6"/>
        </w:rPr>
        <w:t xml:space="preserve"> </w:t>
      </w:r>
      <w:r>
        <w:t>absorption</w:t>
      </w:r>
      <w:r>
        <w:rPr>
          <w:spacing w:val="-3"/>
        </w:rPr>
        <w:t xml:space="preserve"> </w:t>
      </w:r>
      <w:r>
        <w:t>and effectiveness by altering the estrogen chemical structure for topical or oral administration. Synthetic steroid estrogens include ethinyl</w:t>
      </w:r>
      <w:r>
        <w:rPr>
          <w:spacing w:val="40"/>
        </w:rPr>
        <w:t xml:space="preserve"> </w:t>
      </w:r>
      <w:r>
        <w:t xml:space="preserve">estradiol, estradiol valerate, </w:t>
      </w:r>
      <w:proofErr w:type="spellStart"/>
      <w:r>
        <w:t>estropipate</w:t>
      </w:r>
      <w:proofErr w:type="spellEnd"/>
      <w:r>
        <w:t>, conjugate esterified</w:t>
      </w:r>
      <w:r>
        <w:rPr>
          <w:spacing w:val="-4"/>
        </w:rPr>
        <w:t xml:space="preserve"> </w:t>
      </w:r>
      <w:r>
        <w:t>estrogen,</w:t>
      </w:r>
      <w:r>
        <w:rPr>
          <w:spacing w:val="-10"/>
        </w:rPr>
        <w:t xml:space="preserve"> </w:t>
      </w:r>
      <w:r>
        <w:t>and</w:t>
      </w:r>
      <w:r>
        <w:rPr>
          <w:spacing w:val="-8"/>
        </w:rPr>
        <w:t xml:space="preserve"> </w:t>
      </w:r>
      <w:proofErr w:type="spellStart"/>
      <w:r>
        <w:t>quinestrol</w:t>
      </w:r>
      <w:proofErr w:type="spellEnd"/>
      <w:r>
        <w:t>.</w:t>
      </w:r>
      <w:r>
        <w:rPr>
          <w:spacing w:val="-5"/>
        </w:rPr>
        <w:t xml:space="preserve"> </w:t>
      </w:r>
      <w:r>
        <w:t>Ethinyl</w:t>
      </w:r>
      <w:r>
        <w:rPr>
          <w:spacing w:val="-3"/>
        </w:rPr>
        <w:t xml:space="preserve"> </w:t>
      </w:r>
      <w:r>
        <w:rPr>
          <w:spacing w:val="-2"/>
        </w:rPr>
        <w:t>estradiol</w:t>
      </w:r>
    </w:p>
    <w:p w14:paraId="42FDA271" w14:textId="77777777" w:rsidR="001B6ABB" w:rsidRDefault="001B6ABB">
      <w:pPr>
        <w:sectPr w:rsidR="001B6ABB">
          <w:type w:val="continuous"/>
          <w:pgSz w:w="11910" w:h="16840"/>
          <w:pgMar w:top="1340" w:right="500" w:bottom="280" w:left="540" w:header="578" w:footer="0" w:gutter="0"/>
          <w:cols w:num="2" w:space="720" w:equalWidth="0">
            <w:col w:w="5059" w:space="40"/>
            <w:col w:w="5771"/>
          </w:cols>
        </w:sectPr>
      </w:pPr>
    </w:p>
    <w:p w14:paraId="174DA4FE" w14:textId="77777777" w:rsidR="001B6ABB" w:rsidRDefault="00000000">
      <w:pPr>
        <w:pStyle w:val="BodyText"/>
        <w:spacing w:before="83"/>
        <w:ind w:left="900" w:right="1"/>
      </w:pPr>
      <w:r>
        <w:lastRenderedPageBreak/>
        <w:t>is a commonly used synthetic estrogen to prevent pregnancy</w:t>
      </w:r>
      <w:r>
        <w:rPr>
          <w:spacing w:val="-7"/>
        </w:rPr>
        <w:t xml:space="preserve"> </w:t>
      </w:r>
      <w:r>
        <w:t>as a component</w:t>
      </w:r>
      <w:r>
        <w:rPr>
          <w:spacing w:val="-1"/>
        </w:rPr>
        <w:t xml:space="preserve"> </w:t>
      </w:r>
      <w:r>
        <w:t>of</w:t>
      </w:r>
      <w:r>
        <w:rPr>
          <w:spacing w:val="-3"/>
        </w:rPr>
        <w:t xml:space="preserve"> </w:t>
      </w:r>
      <w:r>
        <w:t>the</w:t>
      </w:r>
      <w:r>
        <w:rPr>
          <w:spacing w:val="-1"/>
        </w:rPr>
        <w:t xml:space="preserve"> </w:t>
      </w:r>
      <w:r>
        <w:t>oral</w:t>
      </w:r>
      <w:r>
        <w:rPr>
          <w:spacing w:val="-1"/>
        </w:rPr>
        <w:t xml:space="preserve"> </w:t>
      </w:r>
      <w:r>
        <w:t>contraceptive pill</w:t>
      </w:r>
      <w:r>
        <w:rPr>
          <w:spacing w:val="-4"/>
        </w:rPr>
        <w:t xml:space="preserve"> </w:t>
      </w:r>
      <w:r>
        <w:t>approved by</w:t>
      </w:r>
      <w:r>
        <w:rPr>
          <w:spacing w:val="-6"/>
        </w:rPr>
        <w:t xml:space="preserve"> </w:t>
      </w:r>
      <w:r>
        <w:t>the</w:t>
      </w:r>
      <w:r>
        <w:rPr>
          <w:spacing w:val="-4"/>
        </w:rPr>
        <w:t xml:space="preserve"> </w:t>
      </w:r>
      <w:r>
        <w:t>FDA</w:t>
      </w:r>
      <w:r>
        <w:rPr>
          <w:spacing w:val="-2"/>
        </w:rPr>
        <w:t xml:space="preserve"> </w:t>
      </w:r>
      <w:r>
        <w:t>[5,</w:t>
      </w:r>
      <w:r>
        <w:rPr>
          <w:spacing w:val="-3"/>
        </w:rPr>
        <w:t xml:space="preserve"> </w:t>
      </w:r>
      <w:r>
        <w:t>4]. Some</w:t>
      </w:r>
      <w:r>
        <w:rPr>
          <w:spacing w:val="-4"/>
        </w:rPr>
        <w:t xml:space="preserve"> </w:t>
      </w:r>
      <w:r>
        <w:t xml:space="preserve">nonsteroidal synthetic estrogens include </w:t>
      </w:r>
      <w:proofErr w:type="spellStart"/>
      <w:r>
        <w:t>dienestrol</w:t>
      </w:r>
      <w:proofErr w:type="spellEnd"/>
      <w:r>
        <w:t xml:space="preserve">, diethylstilbestrol, </w:t>
      </w:r>
      <w:proofErr w:type="spellStart"/>
      <w:r>
        <w:t>benzestrol</w:t>
      </w:r>
      <w:proofErr w:type="spellEnd"/>
      <w:r>
        <w:t xml:space="preserve">, </w:t>
      </w:r>
      <w:proofErr w:type="spellStart"/>
      <w:r>
        <w:t>methestrol</w:t>
      </w:r>
      <w:proofErr w:type="spellEnd"/>
      <w:r>
        <w:t xml:space="preserve">, and </w:t>
      </w:r>
      <w:proofErr w:type="spellStart"/>
      <w:r>
        <w:rPr>
          <w:spacing w:val="-2"/>
        </w:rPr>
        <w:t>hexestrol</w:t>
      </w:r>
      <w:proofErr w:type="spellEnd"/>
      <w:r>
        <w:rPr>
          <w:spacing w:val="-2"/>
        </w:rPr>
        <w:t>.</w:t>
      </w:r>
    </w:p>
    <w:p w14:paraId="18BF52E2" w14:textId="77777777" w:rsidR="001B6ABB" w:rsidRDefault="00000000">
      <w:pPr>
        <w:pStyle w:val="Heading1"/>
        <w:spacing w:before="161" w:line="410" w:lineRule="auto"/>
        <w:ind w:right="451"/>
      </w:pPr>
      <w:r>
        <w:t>MATERIALS</w:t>
      </w:r>
      <w:r>
        <w:rPr>
          <w:spacing w:val="-13"/>
        </w:rPr>
        <w:t xml:space="preserve"> </w:t>
      </w:r>
      <w:r>
        <w:t>AND</w:t>
      </w:r>
      <w:r>
        <w:rPr>
          <w:spacing w:val="-12"/>
        </w:rPr>
        <w:t xml:space="preserve"> </w:t>
      </w:r>
      <w:r>
        <w:t>METHODS</w:t>
      </w:r>
      <w:r>
        <w:rPr>
          <w:b w:val="0"/>
        </w:rPr>
        <w:t xml:space="preserve">: </w:t>
      </w:r>
      <w:r>
        <w:rPr>
          <w:spacing w:val="-2"/>
        </w:rPr>
        <w:t>ANIMALS</w:t>
      </w:r>
    </w:p>
    <w:p w14:paraId="7EDB5AD3" w14:textId="77777777" w:rsidR="001B6ABB" w:rsidRDefault="00000000">
      <w:pPr>
        <w:pStyle w:val="BodyText"/>
        <w:ind w:left="900" w:right="1"/>
      </w:pPr>
      <w:r>
        <w:t>Albino Wistar rats that were 3- 4 weeks old and weighed 100-200 g were utilized in this investigation. The rats were exposed to the natural light cycle of darkness, normal laboratory</w:t>
      </w:r>
      <w:r>
        <w:rPr>
          <w:spacing w:val="-2"/>
        </w:rPr>
        <w:t xml:space="preserve"> </w:t>
      </w:r>
      <w:r>
        <w:t>diet, and unrestricted</w:t>
      </w:r>
      <w:r>
        <w:rPr>
          <w:spacing w:val="15"/>
        </w:rPr>
        <w:t xml:space="preserve"> </w:t>
      </w:r>
      <w:r>
        <w:t>access</w:t>
      </w:r>
      <w:r>
        <w:rPr>
          <w:spacing w:val="15"/>
        </w:rPr>
        <w:t xml:space="preserve"> </w:t>
      </w:r>
      <w:r>
        <w:t>to</w:t>
      </w:r>
      <w:r>
        <w:rPr>
          <w:spacing w:val="11"/>
        </w:rPr>
        <w:t xml:space="preserve"> </w:t>
      </w:r>
      <w:r>
        <w:t>water.</w:t>
      </w:r>
      <w:r>
        <w:rPr>
          <w:spacing w:val="18"/>
        </w:rPr>
        <w:t xml:space="preserve"> </w:t>
      </w:r>
      <w:r>
        <w:t>In</w:t>
      </w:r>
      <w:r>
        <w:rPr>
          <w:spacing w:val="15"/>
        </w:rPr>
        <w:t xml:space="preserve"> </w:t>
      </w:r>
      <w:r>
        <w:t>the</w:t>
      </w:r>
      <w:r>
        <w:rPr>
          <w:spacing w:val="9"/>
        </w:rPr>
        <w:t xml:space="preserve"> </w:t>
      </w:r>
      <w:r>
        <w:t>middle</w:t>
      </w:r>
      <w:r>
        <w:rPr>
          <w:spacing w:val="13"/>
        </w:rPr>
        <w:t xml:space="preserve"> </w:t>
      </w:r>
      <w:r>
        <w:t>of</w:t>
      </w:r>
      <w:r>
        <w:rPr>
          <w:spacing w:val="12"/>
        </w:rPr>
        <w:t xml:space="preserve"> </w:t>
      </w:r>
      <w:r>
        <w:rPr>
          <w:spacing w:val="-4"/>
        </w:rPr>
        <w:t>9:00</w:t>
      </w:r>
    </w:p>
    <w:p w14:paraId="40384FBB" w14:textId="77777777" w:rsidR="001B6ABB" w:rsidRDefault="00000000">
      <w:pPr>
        <w:pStyle w:val="BodyText"/>
        <w:ind w:left="900" w:right="1"/>
      </w:pPr>
      <w:r>
        <w:t xml:space="preserve">a.m. and 5:00 pm, a behavioral evaluation </w:t>
      </w:r>
      <w:proofErr w:type="gramStart"/>
      <w:r>
        <w:t>was</w:t>
      </w:r>
      <w:proofErr w:type="gramEnd"/>
      <w:r>
        <w:t xml:space="preserve"> conducted. The</w:t>
      </w:r>
      <w:r>
        <w:rPr>
          <w:spacing w:val="-5"/>
        </w:rPr>
        <w:t xml:space="preserve"> </w:t>
      </w:r>
      <w:r>
        <w:t>animals</w:t>
      </w:r>
      <w:r>
        <w:rPr>
          <w:spacing w:val="-3"/>
        </w:rPr>
        <w:t xml:space="preserve"> </w:t>
      </w:r>
      <w:r>
        <w:t>were accustomed to</w:t>
      </w:r>
      <w:r>
        <w:rPr>
          <w:spacing w:val="-7"/>
        </w:rPr>
        <w:t xml:space="preserve"> </w:t>
      </w:r>
      <w:r>
        <w:t>the</w:t>
      </w:r>
      <w:r>
        <w:rPr>
          <w:spacing w:val="-5"/>
        </w:rPr>
        <w:t xml:space="preserve"> </w:t>
      </w:r>
      <w:r>
        <w:t xml:space="preserve">lab setting five days </w:t>
      </w:r>
      <w:proofErr w:type="gramStart"/>
      <w:r>
        <w:t>before to</w:t>
      </w:r>
      <w:proofErr w:type="gramEnd"/>
      <w:r>
        <w:t xml:space="preserve"> the behavioral investigation and were kept there during the whole investigation. The Committee on Animal Control and Management (CPCSEA) (1147 / ab/ 07/CCPSEA) of the Department of Environment and Forestry</w:t>
      </w:r>
      <w:r>
        <w:rPr>
          <w:spacing w:val="-1"/>
        </w:rPr>
        <w:t xml:space="preserve"> </w:t>
      </w:r>
      <w:r>
        <w:t>authorized the study</w:t>
      </w:r>
      <w:r>
        <w:rPr>
          <w:spacing w:val="-1"/>
        </w:rPr>
        <w:t xml:space="preserve"> </w:t>
      </w:r>
      <w:r>
        <w:t>protocol, and the Institute of Animal Ethics and Committee (IAEC) oversaw the treatment of the animals.</w:t>
      </w:r>
    </w:p>
    <w:p w14:paraId="4B57952C" w14:textId="77777777" w:rsidR="001B6ABB" w:rsidRDefault="00000000">
      <w:pPr>
        <w:pStyle w:val="Heading1"/>
        <w:spacing w:before="157"/>
      </w:pPr>
      <w:r>
        <w:t>CHEMICALS</w:t>
      </w:r>
      <w:r>
        <w:rPr>
          <w:spacing w:val="-10"/>
        </w:rPr>
        <w:t xml:space="preserve"> </w:t>
      </w:r>
      <w:r>
        <w:t>AND</w:t>
      </w:r>
      <w:r>
        <w:rPr>
          <w:spacing w:val="-4"/>
        </w:rPr>
        <w:t xml:space="preserve"> DRUGS</w:t>
      </w:r>
    </w:p>
    <w:p w14:paraId="7A028376" w14:textId="77777777" w:rsidR="001B6ABB" w:rsidRDefault="00000000">
      <w:pPr>
        <w:pStyle w:val="BodyText"/>
        <w:spacing w:before="154"/>
        <w:ind w:left="900" w:right="1"/>
      </w:pPr>
      <w:r>
        <w:t xml:space="preserve">Before usage, </w:t>
      </w:r>
      <w:proofErr w:type="gramStart"/>
      <w:r>
        <w:t>all of</w:t>
      </w:r>
      <w:proofErr w:type="gramEnd"/>
      <w:r>
        <w:t xml:space="preserve"> the medication solutions were newly prepared. sodium pentobarbital anesthesia, estradiol valerate (0.8mg/kg day), </w:t>
      </w:r>
      <w:proofErr w:type="spellStart"/>
      <w:r>
        <w:t>ipriflavone</w:t>
      </w:r>
      <w:proofErr w:type="spellEnd"/>
      <w:r>
        <w:t xml:space="preserve"> (100 mg/kg/day), raloxifene (5 mg/kg/day), tibolone (0.5mg/kg/day) and mix of estradiol valerate (0.4 mg/kg/day) and </w:t>
      </w:r>
      <w:proofErr w:type="spellStart"/>
      <w:r>
        <w:t>ipriflavone</w:t>
      </w:r>
      <w:proofErr w:type="spellEnd"/>
      <w:r>
        <w:t xml:space="preserve"> (50 mg/kg/ day), Glutathione, nitric oxide and lipid peroxidation (MDA) assay kits , </w:t>
      </w:r>
      <w:proofErr w:type="spellStart"/>
      <w:r>
        <w:t>thiobarbituric</w:t>
      </w:r>
      <w:proofErr w:type="spellEnd"/>
      <w:r>
        <w:t xml:space="preserve"> acid, Ellman’s reagent DTNB [5, 5`-dithiobis (2-nitrobenzoic acid), phosphate-buffered saline, Tris-HCl buffer, free</w:t>
      </w:r>
      <w:r>
        <w:rPr>
          <w:spacing w:val="29"/>
        </w:rPr>
        <w:t xml:space="preserve"> </w:t>
      </w:r>
      <w:r>
        <w:t>thiol</w:t>
      </w:r>
      <w:r>
        <w:rPr>
          <w:spacing w:val="35"/>
        </w:rPr>
        <w:t xml:space="preserve"> </w:t>
      </w:r>
      <w:r>
        <w:t>groups,</w:t>
      </w:r>
      <w:r>
        <w:rPr>
          <w:spacing w:val="31"/>
        </w:rPr>
        <w:t xml:space="preserve"> </w:t>
      </w:r>
      <w:r>
        <w:t>trichloroacetic</w:t>
      </w:r>
      <w:r>
        <w:rPr>
          <w:spacing w:val="30"/>
        </w:rPr>
        <w:t xml:space="preserve"> </w:t>
      </w:r>
      <w:r>
        <w:t>acid,</w:t>
      </w:r>
      <w:r>
        <w:rPr>
          <w:spacing w:val="31"/>
        </w:rPr>
        <w:t xml:space="preserve"> </w:t>
      </w:r>
      <w:r>
        <w:rPr>
          <w:spacing w:val="-2"/>
        </w:rPr>
        <w:t>thiocholine</w:t>
      </w:r>
    </w:p>
    <w:p w14:paraId="4D7A34D6" w14:textId="77777777" w:rsidR="001B6ABB" w:rsidRDefault="00000000">
      <w:pPr>
        <w:pStyle w:val="BodyText"/>
        <w:spacing w:before="5" w:line="228" w:lineRule="exact"/>
        <w:ind w:left="900"/>
      </w:pPr>
      <w:proofErr w:type="gramStart"/>
      <w:r>
        <w:t>,</w:t>
      </w:r>
      <w:proofErr w:type="spellStart"/>
      <w:r>
        <w:t>dithiobisnitrobenzoate</w:t>
      </w:r>
      <w:proofErr w:type="spellEnd"/>
      <w:proofErr w:type="gramEnd"/>
      <w:r>
        <w:t>,</w:t>
      </w:r>
      <w:r>
        <w:rPr>
          <w:spacing w:val="36"/>
        </w:rPr>
        <w:t xml:space="preserve">  </w:t>
      </w:r>
      <w:r>
        <w:t>acetylthiocholine</w:t>
      </w:r>
      <w:r>
        <w:rPr>
          <w:spacing w:val="36"/>
        </w:rPr>
        <w:t xml:space="preserve">  </w:t>
      </w:r>
      <w:r>
        <w:rPr>
          <w:spacing w:val="-2"/>
        </w:rPr>
        <w:t>iodide</w:t>
      </w:r>
    </w:p>
    <w:p w14:paraId="6449D007" w14:textId="77777777" w:rsidR="001B6ABB" w:rsidRDefault="00000000">
      <w:pPr>
        <w:pStyle w:val="BodyText"/>
        <w:ind w:left="900" w:right="5"/>
      </w:pPr>
      <w:proofErr w:type="gramStart"/>
      <w:r>
        <w:t>,Sorenson</w:t>
      </w:r>
      <w:proofErr w:type="gramEnd"/>
      <w:r>
        <w:t xml:space="preserve"> phosphate buffer, pH 8.0,sodium hydroxide, zinc sulphate solution, Greiss reagent.</w:t>
      </w:r>
    </w:p>
    <w:p w14:paraId="7EBE9805" w14:textId="77777777" w:rsidR="001B6ABB" w:rsidRDefault="00000000">
      <w:pPr>
        <w:pStyle w:val="Heading1"/>
        <w:spacing w:before="168"/>
      </w:pPr>
      <w:r>
        <w:t>INDUCTION</w:t>
      </w:r>
      <w:r>
        <w:rPr>
          <w:spacing w:val="-12"/>
        </w:rPr>
        <w:t xml:space="preserve"> </w:t>
      </w:r>
      <w:r>
        <w:rPr>
          <w:spacing w:val="-4"/>
        </w:rPr>
        <w:t>MODEL</w:t>
      </w:r>
    </w:p>
    <w:p w14:paraId="70DB0534" w14:textId="77777777" w:rsidR="001B6ABB" w:rsidRDefault="00000000">
      <w:pPr>
        <w:pStyle w:val="BodyText"/>
        <w:spacing w:before="154"/>
        <w:ind w:left="900" w:right="1"/>
      </w:pPr>
      <w:r>
        <w:t xml:space="preserve">Animals were administered with sodium pentobarbital anesthesia (50 mg/kg, </w:t>
      </w:r>
      <w:proofErr w:type="spellStart"/>
      <w:r>
        <w:t>i.p.</w:t>
      </w:r>
      <w:proofErr w:type="spellEnd"/>
      <w:r>
        <w:t>)</w:t>
      </w:r>
      <w:r>
        <w:rPr>
          <w:spacing w:val="40"/>
        </w:rPr>
        <w:t xml:space="preserve"> </w:t>
      </w:r>
      <w:r>
        <w:t>and then operated through flank incisions. The fur on both sides of the body was shaved from the hip to the lowest rib. Bilateral ovariectomies were performed using</w:t>
      </w:r>
      <w:r>
        <w:rPr>
          <w:spacing w:val="-1"/>
        </w:rPr>
        <w:t xml:space="preserve"> </w:t>
      </w:r>
      <w:r>
        <w:t>an incision 1.5</w:t>
      </w:r>
      <w:r>
        <w:rPr>
          <w:spacing w:val="-1"/>
        </w:rPr>
        <w:t xml:space="preserve"> </w:t>
      </w:r>
      <w:r>
        <w:t>cm inferior to</w:t>
      </w:r>
      <w:r>
        <w:rPr>
          <w:spacing w:val="-1"/>
        </w:rPr>
        <w:t xml:space="preserve"> </w:t>
      </w:r>
      <w:r>
        <w:t>the palpated</w:t>
      </w:r>
      <w:r>
        <w:rPr>
          <w:spacing w:val="-1"/>
        </w:rPr>
        <w:t xml:space="preserve"> </w:t>
      </w:r>
      <w:r>
        <w:t>rib cage [6].</w:t>
      </w:r>
    </w:p>
    <w:p w14:paraId="1D6392CE" w14:textId="77777777" w:rsidR="001B6ABB" w:rsidRDefault="00000000">
      <w:pPr>
        <w:pStyle w:val="Heading1"/>
        <w:spacing w:before="166"/>
      </w:pPr>
      <w:r>
        <w:t>PROTOCOL</w:t>
      </w:r>
      <w:r>
        <w:rPr>
          <w:spacing w:val="-5"/>
        </w:rPr>
        <w:t xml:space="preserve"> </w:t>
      </w:r>
      <w:r>
        <w:t>FOR</w:t>
      </w:r>
      <w:r>
        <w:rPr>
          <w:spacing w:val="-10"/>
        </w:rPr>
        <w:t xml:space="preserve"> </w:t>
      </w:r>
      <w:r>
        <w:rPr>
          <w:spacing w:val="-2"/>
        </w:rPr>
        <w:t>EXPERIMENTS</w:t>
      </w:r>
    </w:p>
    <w:p w14:paraId="1003A681" w14:textId="77777777" w:rsidR="001B6ABB" w:rsidRDefault="00000000">
      <w:pPr>
        <w:pStyle w:val="BodyText"/>
        <w:spacing w:before="154"/>
        <w:ind w:left="900"/>
      </w:pPr>
      <w:r>
        <w:t>There was a total of seven groups in this study,</w:t>
      </w:r>
      <w:r>
        <w:rPr>
          <w:spacing w:val="40"/>
        </w:rPr>
        <w:t xml:space="preserve"> </w:t>
      </w:r>
      <w:r>
        <w:t xml:space="preserve">each with six male rats. Two weeks after the ovariectomy, total 7 groups were </w:t>
      </w:r>
      <w:proofErr w:type="gramStart"/>
      <w:r>
        <w:t>used</w:t>
      </w:r>
      <w:proofErr w:type="gramEnd"/>
      <w:r>
        <w:t xml:space="preserve"> and each group consisted of six male rats. The animals were housed </w:t>
      </w:r>
      <w:proofErr w:type="gramStart"/>
      <w:r>
        <w:t>to</w:t>
      </w:r>
      <w:proofErr w:type="gramEnd"/>
      <w:r>
        <w:t xml:space="preserve"> a cage, with free access to food and water, and were kept on a 12-hour light/dark cycle (lights on at 7:00 am).</w:t>
      </w:r>
    </w:p>
    <w:p w14:paraId="77176925" w14:textId="77777777" w:rsidR="001B6ABB" w:rsidRDefault="00000000">
      <w:pPr>
        <w:pStyle w:val="BodyText"/>
        <w:spacing w:before="83"/>
        <w:ind w:left="679" w:right="934"/>
      </w:pPr>
      <w:r>
        <w:br w:type="column"/>
      </w:r>
      <w:r>
        <w:rPr>
          <w:b/>
        </w:rPr>
        <w:t xml:space="preserve">Group I – </w:t>
      </w:r>
      <w:r>
        <w:t>Control group: Animals were exposed</w:t>
      </w:r>
      <w:r>
        <w:rPr>
          <w:spacing w:val="80"/>
        </w:rPr>
        <w:t xml:space="preserve"> </w:t>
      </w:r>
      <w:r>
        <w:t xml:space="preserve">to Elevated plus maze (EPM) and </w:t>
      </w:r>
      <w:proofErr w:type="gramStart"/>
      <w:r>
        <w:t>Morris</w:t>
      </w:r>
      <w:proofErr w:type="gramEnd"/>
      <w:r>
        <w:t xml:space="preserve"> water maze (MWM) for acquisition trial from 1th to 2nd day and retrieval trial on 5th day in EPM and in MWM acquisition trial from 3rd to 6th day and retrieval trial on 7th day.</w:t>
      </w:r>
    </w:p>
    <w:p w14:paraId="582998D1" w14:textId="77777777" w:rsidR="001B6ABB" w:rsidRDefault="00000000">
      <w:pPr>
        <w:pStyle w:val="BodyText"/>
        <w:spacing w:before="161"/>
        <w:ind w:left="679" w:right="928"/>
      </w:pPr>
      <w:r>
        <w:rPr>
          <w:b/>
        </w:rPr>
        <w:t xml:space="preserve">Group 2- </w:t>
      </w:r>
      <w:r>
        <w:t>Ovariectomized group (OVX</w:t>
      </w:r>
      <w:proofErr w:type="gramStart"/>
      <w:r>
        <w:t>):-</w:t>
      </w:r>
      <w:proofErr w:type="gramEnd"/>
      <w:r>
        <w:t xml:space="preserve"> Animals were administered with sodium pentobarbital anesthesia (50 mg/kg, </w:t>
      </w:r>
      <w:proofErr w:type="spellStart"/>
      <w:r>
        <w:t>i.p.</w:t>
      </w:r>
      <w:proofErr w:type="spellEnd"/>
      <w:r>
        <w:t>)</w:t>
      </w:r>
      <w:r>
        <w:rPr>
          <w:spacing w:val="40"/>
        </w:rPr>
        <w:t xml:space="preserve"> </w:t>
      </w:r>
      <w:r>
        <w:t>and then operated through</w:t>
      </w:r>
      <w:r>
        <w:rPr>
          <w:spacing w:val="-2"/>
        </w:rPr>
        <w:t xml:space="preserve"> </w:t>
      </w:r>
      <w:r>
        <w:t>flank</w:t>
      </w:r>
      <w:r>
        <w:rPr>
          <w:spacing w:val="-7"/>
        </w:rPr>
        <w:t xml:space="preserve"> </w:t>
      </w:r>
      <w:r>
        <w:t>incisions.</w:t>
      </w:r>
      <w:r>
        <w:rPr>
          <w:spacing w:val="-9"/>
        </w:rPr>
        <w:t xml:space="preserve"> </w:t>
      </w:r>
      <w:r>
        <w:t>The</w:t>
      </w:r>
      <w:r>
        <w:rPr>
          <w:spacing w:val="-5"/>
        </w:rPr>
        <w:t xml:space="preserve"> </w:t>
      </w:r>
      <w:r>
        <w:t>fur</w:t>
      </w:r>
      <w:r>
        <w:rPr>
          <w:spacing w:val="-2"/>
        </w:rPr>
        <w:t xml:space="preserve"> </w:t>
      </w:r>
      <w:r>
        <w:t>on</w:t>
      </w:r>
      <w:r>
        <w:rPr>
          <w:spacing w:val="-2"/>
        </w:rPr>
        <w:t xml:space="preserve"> </w:t>
      </w:r>
      <w:r>
        <w:t>both sides</w:t>
      </w:r>
      <w:r>
        <w:rPr>
          <w:spacing w:val="-3"/>
        </w:rPr>
        <w:t xml:space="preserve"> </w:t>
      </w:r>
      <w:r>
        <w:t>of</w:t>
      </w:r>
      <w:r>
        <w:rPr>
          <w:spacing w:val="-7"/>
        </w:rPr>
        <w:t xml:space="preserve"> </w:t>
      </w:r>
      <w:r>
        <w:t>the body was shaved from the hip to the lowest rib. Bilateral ovariectomies were performed using an incision 1.5</w:t>
      </w:r>
      <w:r>
        <w:rPr>
          <w:spacing w:val="-1"/>
        </w:rPr>
        <w:t xml:space="preserve"> </w:t>
      </w:r>
      <w:r>
        <w:t>cm</w:t>
      </w:r>
      <w:r>
        <w:rPr>
          <w:spacing w:val="-3"/>
        </w:rPr>
        <w:t xml:space="preserve"> </w:t>
      </w:r>
      <w:r>
        <w:t>inferior</w:t>
      </w:r>
      <w:r>
        <w:rPr>
          <w:spacing w:val="-1"/>
        </w:rPr>
        <w:t xml:space="preserve"> </w:t>
      </w:r>
      <w:r>
        <w:t>to</w:t>
      </w:r>
      <w:r>
        <w:rPr>
          <w:spacing w:val="-1"/>
        </w:rPr>
        <w:t xml:space="preserve"> </w:t>
      </w:r>
      <w:r>
        <w:t>the</w:t>
      </w:r>
      <w:r>
        <w:rPr>
          <w:spacing w:val="-3"/>
        </w:rPr>
        <w:t xml:space="preserve"> </w:t>
      </w:r>
      <w:r>
        <w:t>palpated</w:t>
      </w:r>
      <w:r>
        <w:rPr>
          <w:spacing w:val="-5"/>
        </w:rPr>
        <w:t xml:space="preserve"> </w:t>
      </w:r>
      <w:r>
        <w:t>rib</w:t>
      </w:r>
      <w:r>
        <w:rPr>
          <w:spacing w:val="-1"/>
        </w:rPr>
        <w:t xml:space="preserve"> </w:t>
      </w:r>
      <w:r>
        <w:t>cage</w:t>
      </w:r>
      <w:r>
        <w:rPr>
          <w:spacing w:val="-3"/>
        </w:rPr>
        <w:t xml:space="preserve"> </w:t>
      </w:r>
      <w:r>
        <w:t>and the rest of the procedure was same as group III.</w:t>
      </w:r>
    </w:p>
    <w:p w14:paraId="4ED864D0" w14:textId="77777777" w:rsidR="001B6ABB" w:rsidRDefault="00000000">
      <w:pPr>
        <w:pStyle w:val="BodyText"/>
        <w:spacing w:before="158"/>
        <w:ind w:left="679" w:right="928"/>
      </w:pPr>
      <w:r>
        <w:rPr>
          <w:b/>
        </w:rPr>
        <w:t xml:space="preserve">Group 3- </w:t>
      </w:r>
      <w:r>
        <w:t xml:space="preserve">Estradiol Valerate per-se </w:t>
      </w:r>
      <w:proofErr w:type="gramStart"/>
      <w:r>
        <w:t>group:-</w:t>
      </w:r>
      <w:proofErr w:type="gramEnd"/>
      <w:r>
        <w:rPr>
          <w:spacing w:val="40"/>
        </w:rPr>
        <w:t xml:space="preserve"> </w:t>
      </w:r>
      <w:r>
        <w:t xml:space="preserve">Animals were given 0.8mg/kg of </w:t>
      </w:r>
      <w:proofErr w:type="spellStart"/>
      <w:r>
        <w:t>Estadiol</w:t>
      </w:r>
      <w:proofErr w:type="spellEnd"/>
      <w:r>
        <w:t xml:space="preserve"> Valerate through </w:t>
      </w:r>
      <w:proofErr w:type="spellStart"/>
      <w:r>
        <w:t>i.p.</w:t>
      </w:r>
      <w:proofErr w:type="spellEnd"/>
      <w:r>
        <w:rPr>
          <w:spacing w:val="-7"/>
        </w:rPr>
        <w:t xml:space="preserve"> </w:t>
      </w:r>
      <w:r>
        <w:t>route</w:t>
      </w:r>
      <w:r>
        <w:rPr>
          <w:spacing w:val="-3"/>
        </w:rPr>
        <w:t xml:space="preserve"> </w:t>
      </w:r>
      <w:r>
        <w:t>once</w:t>
      </w:r>
      <w:r>
        <w:rPr>
          <w:spacing w:val="-3"/>
        </w:rPr>
        <w:t xml:space="preserve"> </w:t>
      </w:r>
      <w:r>
        <w:t>a day</w:t>
      </w:r>
      <w:r>
        <w:rPr>
          <w:spacing w:val="-10"/>
        </w:rPr>
        <w:t xml:space="preserve"> </w:t>
      </w:r>
      <w:r>
        <w:t>for 90 days</w:t>
      </w:r>
      <w:r>
        <w:rPr>
          <w:spacing w:val="-1"/>
        </w:rPr>
        <w:t xml:space="preserve"> </w:t>
      </w:r>
      <w:r>
        <w:t>and</w:t>
      </w:r>
      <w:r>
        <w:rPr>
          <w:spacing w:val="-5"/>
        </w:rPr>
        <w:t xml:space="preserve"> </w:t>
      </w:r>
      <w:proofErr w:type="gramStart"/>
      <w:r>
        <w:t>rest</w:t>
      </w:r>
      <w:proofErr w:type="gramEnd"/>
      <w:r>
        <w:t xml:space="preserve"> of the procedure was same as group III.</w:t>
      </w:r>
    </w:p>
    <w:p w14:paraId="5EA06610" w14:textId="77777777" w:rsidR="001B6ABB" w:rsidRDefault="00000000">
      <w:pPr>
        <w:pStyle w:val="BodyText"/>
        <w:spacing w:before="160"/>
        <w:ind w:left="679" w:right="930"/>
      </w:pPr>
      <w:r>
        <w:rPr>
          <w:b/>
        </w:rPr>
        <w:t xml:space="preserve">Group 4- </w:t>
      </w:r>
      <w:proofErr w:type="spellStart"/>
      <w:r>
        <w:t>Ipriflavone</w:t>
      </w:r>
      <w:proofErr w:type="spellEnd"/>
      <w:r>
        <w:t xml:space="preserve"> treated group, Animals were given</w:t>
      </w:r>
      <w:r>
        <w:rPr>
          <w:spacing w:val="20"/>
        </w:rPr>
        <w:t xml:space="preserve"> </w:t>
      </w:r>
      <w:r>
        <w:t>100</w:t>
      </w:r>
      <w:r>
        <w:rPr>
          <w:spacing w:val="12"/>
        </w:rPr>
        <w:t xml:space="preserve"> </w:t>
      </w:r>
      <w:r>
        <w:t>mg/kg/day</w:t>
      </w:r>
      <w:r>
        <w:rPr>
          <w:spacing w:val="9"/>
        </w:rPr>
        <w:t xml:space="preserve"> </w:t>
      </w:r>
      <w:r>
        <w:t>of</w:t>
      </w:r>
      <w:r>
        <w:rPr>
          <w:spacing w:val="14"/>
        </w:rPr>
        <w:t xml:space="preserve"> </w:t>
      </w:r>
      <w:proofErr w:type="spellStart"/>
      <w:r>
        <w:t>Ipriflavone</w:t>
      </w:r>
      <w:proofErr w:type="spellEnd"/>
      <w:r>
        <w:rPr>
          <w:spacing w:val="14"/>
        </w:rPr>
        <w:t xml:space="preserve"> </w:t>
      </w:r>
      <w:r>
        <w:t>once</w:t>
      </w:r>
      <w:r>
        <w:rPr>
          <w:spacing w:val="15"/>
        </w:rPr>
        <w:t xml:space="preserve"> </w:t>
      </w:r>
      <w:r>
        <w:t>daily</w:t>
      </w:r>
      <w:r>
        <w:rPr>
          <w:spacing w:val="9"/>
        </w:rPr>
        <w:t xml:space="preserve"> </w:t>
      </w:r>
      <w:r>
        <w:rPr>
          <w:spacing w:val="-5"/>
        </w:rPr>
        <w:t>for</w:t>
      </w:r>
    </w:p>
    <w:p w14:paraId="4A78603C" w14:textId="77777777" w:rsidR="001B6ABB" w:rsidRDefault="00000000">
      <w:pPr>
        <w:pStyle w:val="BodyText"/>
        <w:spacing w:before="1"/>
        <w:ind w:left="679" w:right="932"/>
      </w:pPr>
      <w:r>
        <w:t xml:space="preserve">14 days and </w:t>
      </w:r>
      <w:proofErr w:type="gramStart"/>
      <w:r>
        <w:t>rest</w:t>
      </w:r>
      <w:proofErr w:type="gramEnd"/>
      <w:r>
        <w:t xml:space="preserve"> of the procedure was same as group III.</w:t>
      </w:r>
    </w:p>
    <w:p w14:paraId="0710B145" w14:textId="77777777" w:rsidR="001B6ABB" w:rsidRDefault="00000000">
      <w:pPr>
        <w:pStyle w:val="BodyText"/>
        <w:spacing w:before="159"/>
        <w:ind w:left="679" w:right="925"/>
      </w:pPr>
      <w:r>
        <w:rPr>
          <w:b/>
        </w:rPr>
        <w:t xml:space="preserve">Group 5- </w:t>
      </w:r>
      <w:r>
        <w:t xml:space="preserve">Estradiol Valerate treated group the Ovariectomized animals were given 0.8mg/kg </w:t>
      </w:r>
      <w:proofErr w:type="spellStart"/>
      <w:r>
        <w:t>i.p.</w:t>
      </w:r>
      <w:proofErr w:type="spellEnd"/>
      <w:r>
        <w:t xml:space="preserve"> once a day for 90 days and </w:t>
      </w:r>
      <w:proofErr w:type="gramStart"/>
      <w:r>
        <w:t>rest</w:t>
      </w:r>
      <w:proofErr w:type="gramEnd"/>
      <w:r>
        <w:t xml:space="preserve"> of the procedure</w:t>
      </w:r>
      <w:r>
        <w:rPr>
          <w:spacing w:val="40"/>
        </w:rPr>
        <w:t xml:space="preserve"> </w:t>
      </w:r>
      <w:r>
        <w:t>was same as group III.</w:t>
      </w:r>
    </w:p>
    <w:p w14:paraId="266D64E2" w14:textId="77777777" w:rsidR="001B6ABB" w:rsidRDefault="00000000">
      <w:pPr>
        <w:pStyle w:val="BodyText"/>
        <w:spacing w:before="161"/>
        <w:ind w:left="679" w:right="927"/>
      </w:pPr>
      <w:r>
        <w:rPr>
          <w:b/>
        </w:rPr>
        <w:t xml:space="preserve">Group 6- </w:t>
      </w:r>
      <w:proofErr w:type="spellStart"/>
      <w:r>
        <w:t>Ipriflavone</w:t>
      </w:r>
      <w:proofErr w:type="spellEnd"/>
      <w:r>
        <w:t xml:space="preserve"> treated group,</w:t>
      </w:r>
      <w:r>
        <w:rPr>
          <w:spacing w:val="40"/>
        </w:rPr>
        <w:t xml:space="preserve"> </w:t>
      </w:r>
      <w:r>
        <w:t xml:space="preserve">ovariectomized group treated with </w:t>
      </w:r>
      <w:proofErr w:type="spellStart"/>
      <w:r>
        <w:t>ipriflavone</w:t>
      </w:r>
      <w:proofErr w:type="spellEnd"/>
      <w:r>
        <w:t xml:space="preserve"> (100 mg/kg/day) once daily for 14 days and rest of the procedure was same as group III.</w:t>
      </w:r>
    </w:p>
    <w:p w14:paraId="4DC3EA26" w14:textId="77777777" w:rsidR="001B6ABB" w:rsidRDefault="00000000">
      <w:pPr>
        <w:pStyle w:val="BodyText"/>
        <w:spacing w:before="160"/>
        <w:ind w:left="679" w:right="933"/>
      </w:pPr>
      <w:r>
        <w:rPr>
          <w:b/>
        </w:rPr>
        <w:t xml:space="preserve">Group 7- </w:t>
      </w:r>
      <w:r>
        <w:t xml:space="preserve">EVP+ IP group, ovariectomized group treated with a mix of estradiol valerate (0.4 mg/kg/day) and </w:t>
      </w:r>
      <w:proofErr w:type="spellStart"/>
      <w:r>
        <w:t>ipriflavone</w:t>
      </w:r>
      <w:proofErr w:type="spellEnd"/>
      <w:r>
        <w:t xml:space="preserve"> (50 mg/kg/ day) for 90 days</w:t>
      </w:r>
      <w:r>
        <w:rPr>
          <w:spacing w:val="40"/>
        </w:rPr>
        <w:t xml:space="preserve"> </w:t>
      </w:r>
      <w:r>
        <w:t xml:space="preserve">and rest of the procedure was same as group </w:t>
      </w:r>
      <w:r>
        <w:rPr>
          <w:spacing w:val="-4"/>
        </w:rPr>
        <w:t>III.</w:t>
      </w:r>
    </w:p>
    <w:p w14:paraId="6FFA888C" w14:textId="77777777" w:rsidR="001B6ABB" w:rsidRDefault="00000000">
      <w:pPr>
        <w:pStyle w:val="Heading2"/>
        <w:spacing w:before="166"/>
        <w:ind w:left="679"/>
      </w:pPr>
      <w:r>
        <w:t>OVX</w:t>
      </w:r>
      <w:r>
        <w:rPr>
          <w:spacing w:val="-2"/>
        </w:rPr>
        <w:t xml:space="preserve"> surgery:</w:t>
      </w:r>
    </w:p>
    <w:p w14:paraId="79554D67" w14:textId="77777777" w:rsidR="001B6ABB" w:rsidRDefault="00000000">
      <w:pPr>
        <w:pStyle w:val="BodyText"/>
        <w:spacing w:before="154"/>
        <w:ind w:left="679" w:right="929"/>
      </w:pPr>
      <w:proofErr w:type="gramStart"/>
      <w:r>
        <w:t>Rat</w:t>
      </w:r>
      <w:proofErr w:type="gramEnd"/>
      <w:r>
        <w:t xml:space="preserve"> in the control and OVX groups were anesthetized with 3.0% pentobarbital sodium (45 mg/kg,</w:t>
      </w:r>
      <w:r>
        <w:rPr>
          <w:spacing w:val="40"/>
        </w:rPr>
        <w:t xml:space="preserve"> </w:t>
      </w:r>
      <w:r>
        <w:t>intraperitoneal), and some hair on the back was shaved off for surgery. A dorsolateral incision of the skin along the spine was made perpendicular to</w:t>
      </w:r>
      <w:r>
        <w:rPr>
          <w:spacing w:val="23"/>
        </w:rPr>
        <w:t xml:space="preserve"> </w:t>
      </w:r>
      <w:r>
        <w:t>the</w:t>
      </w:r>
      <w:r>
        <w:rPr>
          <w:spacing w:val="26"/>
        </w:rPr>
        <w:t xml:space="preserve"> </w:t>
      </w:r>
      <w:r>
        <w:t>line</w:t>
      </w:r>
      <w:r>
        <w:rPr>
          <w:spacing w:val="26"/>
        </w:rPr>
        <w:t xml:space="preserve"> </w:t>
      </w:r>
      <w:r>
        <w:t>of</w:t>
      </w:r>
      <w:r>
        <w:rPr>
          <w:spacing w:val="24"/>
        </w:rPr>
        <w:t xml:space="preserve"> </w:t>
      </w:r>
      <w:r>
        <w:t>the</w:t>
      </w:r>
      <w:r>
        <w:rPr>
          <w:spacing w:val="28"/>
        </w:rPr>
        <w:t xml:space="preserve"> </w:t>
      </w:r>
      <w:r>
        <w:t>base</w:t>
      </w:r>
      <w:r>
        <w:rPr>
          <w:spacing w:val="26"/>
        </w:rPr>
        <w:t xml:space="preserve"> </w:t>
      </w:r>
      <w:r>
        <w:t>of</w:t>
      </w:r>
      <w:r>
        <w:rPr>
          <w:spacing w:val="24"/>
        </w:rPr>
        <w:t xml:space="preserve"> </w:t>
      </w:r>
      <w:r>
        <w:t>the</w:t>
      </w:r>
      <w:r>
        <w:rPr>
          <w:spacing w:val="21"/>
        </w:rPr>
        <w:t xml:space="preserve"> </w:t>
      </w:r>
      <w:r>
        <w:t>thighs.</w:t>
      </w:r>
      <w:r>
        <w:rPr>
          <w:spacing w:val="27"/>
        </w:rPr>
        <w:t xml:space="preserve"> </w:t>
      </w:r>
      <w:r>
        <w:t>The</w:t>
      </w:r>
      <w:r>
        <w:rPr>
          <w:spacing w:val="21"/>
        </w:rPr>
        <w:t xml:space="preserve"> </w:t>
      </w:r>
      <w:r>
        <w:rPr>
          <w:spacing w:val="-2"/>
        </w:rPr>
        <w:t>muscles</w:t>
      </w:r>
    </w:p>
    <w:p w14:paraId="58877402" w14:textId="77777777" w:rsidR="001B6ABB" w:rsidRDefault="00000000">
      <w:pPr>
        <w:pStyle w:val="BodyText"/>
        <w:spacing w:before="3"/>
        <w:ind w:left="679" w:right="929"/>
      </w:pPr>
      <w:r>
        <w:t>0.5 cm beneath the midline of the back beneath the skin were incised, and the fat beneath the muscles was grasped to exteriorize the ovary. The fallopian tube was ligated, and then the ovary was removed by cutting above the ligated area. In the Sham group, the mice underwent the same incisions, and the fallopian tubes and ovaries were exposed but</w:t>
      </w:r>
      <w:r>
        <w:rPr>
          <w:spacing w:val="40"/>
        </w:rPr>
        <w:t xml:space="preserve"> </w:t>
      </w:r>
      <w:r>
        <w:t>not removed and then put back in the abdominal cavity. Finally, the incisions in the muscle and skin were closed [7]</w:t>
      </w:r>
    </w:p>
    <w:p w14:paraId="5F7A59D9" w14:textId="77777777" w:rsidR="001B6ABB" w:rsidRDefault="001B6ABB">
      <w:pPr>
        <w:sectPr w:rsidR="001B6ABB">
          <w:pgSz w:w="11910" w:h="16840"/>
          <w:pgMar w:top="1340" w:right="500" w:bottom="280" w:left="540" w:header="578" w:footer="0" w:gutter="0"/>
          <w:cols w:num="2" w:space="720" w:equalWidth="0">
            <w:col w:w="5060" w:space="40"/>
            <w:col w:w="5770"/>
          </w:cols>
        </w:sectPr>
      </w:pPr>
    </w:p>
    <w:p w14:paraId="73D5D3F6" w14:textId="77777777" w:rsidR="001B6ABB" w:rsidRDefault="001B6ABB">
      <w:pPr>
        <w:pStyle w:val="BodyText"/>
        <w:spacing w:before="6"/>
        <w:ind w:left="0"/>
        <w:jc w:val="left"/>
        <w:rPr>
          <w:sz w:val="7"/>
        </w:rPr>
      </w:pPr>
    </w:p>
    <w:p w14:paraId="6D31876A" w14:textId="77777777" w:rsidR="001B6ABB" w:rsidRDefault="00000000">
      <w:pPr>
        <w:pStyle w:val="BodyText"/>
        <w:ind w:left="1259"/>
        <w:jc w:val="left"/>
      </w:pPr>
      <w:r>
        <w:rPr>
          <w:noProof/>
        </w:rPr>
        <w:drawing>
          <wp:inline distT="0" distB="0" distL="0" distR="0" wp14:anchorId="377F4B0C" wp14:editId="296EDD68">
            <wp:extent cx="5283432" cy="247573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5283432" cy="2475737"/>
                    </a:xfrm>
                    <a:prstGeom prst="rect">
                      <a:avLst/>
                    </a:prstGeom>
                  </pic:spPr>
                </pic:pic>
              </a:graphicData>
            </a:graphic>
          </wp:inline>
        </w:drawing>
      </w:r>
    </w:p>
    <w:p w14:paraId="2024E1E0" w14:textId="77777777" w:rsidR="001B6ABB" w:rsidRDefault="001B6ABB">
      <w:pPr>
        <w:pStyle w:val="BodyText"/>
        <w:spacing w:before="6"/>
        <w:ind w:left="0"/>
        <w:jc w:val="left"/>
        <w:rPr>
          <w:sz w:val="6"/>
        </w:rPr>
      </w:pPr>
    </w:p>
    <w:p w14:paraId="41FA054C" w14:textId="77777777" w:rsidR="001B6ABB" w:rsidRDefault="001B6ABB">
      <w:pPr>
        <w:rPr>
          <w:sz w:val="6"/>
        </w:rPr>
        <w:sectPr w:rsidR="001B6ABB">
          <w:pgSz w:w="11910" w:h="16840"/>
          <w:pgMar w:top="1340" w:right="500" w:bottom="280" w:left="540" w:header="578" w:footer="0" w:gutter="0"/>
          <w:cols w:space="720"/>
        </w:sectPr>
      </w:pPr>
    </w:p>
    <w:p w14:paraId="2FAA13EB" w14:textId="77777777" w:rsidR="001B6ABB" w:rsidRDefault="001B6ABB">
      <w:pPr>
        <w:pStyle w:val="BodyText"/>
        <w:ind w:left="0"/>
        <w:jc w:val="left"/>
      </w:pPr>
    </w:p>
    <w:p w14:paraId="2ACAFA03" w14:textId="77777777" w:rsidR="001B6ABB" w:rsidRDefault="001B6ABB">
      <w:pPr>
        <w:pStyle w:val="BodyText"/>
        <w:spacing w:before="27"/>
        <w:ind w:left="0"/>
        <w:jc w:val="left"/>
      </w:pPr>
    </w:p>
    <w:p w14:paraId="47E5FE2F" w14:textId="77777777" w:rsidR="001B6ABB" w:rsidRDefault="00000000">
      <w:pPr>
        <w:pStyle w:val="Heading2"/>
        <w:jc w:val="left"/>
      </w:pPr>
      <w:r>
        <w:t>Vaginal</w:t>
      </w:r>
      <w:r>
        <w:rPr>
          <w:spacing w:val="-6"/>
        </w:rPr>
        <w:t xml:space="preserve"> </w:t>
      </w:r>
      <w:r>
        <w:t>smear</w:t>
      </w:r>
      <w:r>
        <w:rPr>
          <w:spacing w:val="-5"/>
        </w:rPr>
        <w:t xml:space="preserve"> </w:t>
      </w:r>
      <w:r>
        <w:rPr>
          <w:spacing w:val="-2"/>
        </w:rPr>
        <w:t>examination:</w:t>
      </w:r>
    </w:p>
    <w:p w14:paraId="5D553AA6" w14:textId="77777777" w:rsidR="001B6ABB" w:rsidRDefault="00000000">
      <w:pPr>
        <w:spacing w:before="93"/>
        <w:ind w:left="690"/>
        <w:rPr>
          <w:b/>
          <w:sz w:val="20"/>
        </w:rPr>
      </w:pPr>
      <w:r>
        <w:br w:type="column"/>
      </w:r>
      <w:r>
        <w:rPr>
          <w:b/>
          <w:sz w:val="20"/>
        </w:rPr>
        <w:t>Fig.1:</w:t>
      </w:r>
      <w:r>
        <w:rPr>
          <w:b/>
          <w:spacing w:val="-5"/>
          <w:sz w:val="20"/>
        </w:rPr>
        <w:t xml:space="preserve"> </w:t>
      </w:r>
      <w:r>
        <w:rPr>
          <w:b/>
          <w:sz w:val="20"/>
        </w:rPr>
        <w:t>Diagram</w:t>
      </w:r>
      <w:r>
        <w:rPr>
          <w:b/>
          <w:spacing w:val="-6"/>
          <w:sz w:val="20"/>
        </w:rPr>
        <w:t xml:space="preserve"> </w:t>
      </w:r>
      <w:r>
        <w:rPr>
          <w:b/>
          <w:sz w:val="20"/>
        </w:rPr>
        <w:t>of</w:t>
      </w:r>
      <w:r>
        <w:rPr>
          <w:b/>
          <w:spacing w:val="-2"/>
          <w:sz w:val="20"/>
        </w:rPr>
        <w:t xml:space="preserve"> </w:t>
      </w:r>
      <w:r>
        <w:rPr>
          <w:b/>
          <w:sz w:val="20"/>
        </w:rPr>
        <w:t>OVX</w:t>
      </w:r>
      <w:r>
        <w:rPr>
          <w:b/>
          <w:spacing w:val="-6"/>
          <w:sz w:val="20"/>
        </w:rPr>
        <w:t xml:space="preserve"> </w:t>
      </w:r>
      <w:r>
        <w:rPr>
          <w:b/>
          <w:spacing w:val="-2"/>
          <w:sz w:val="20"/>
        </w:rPr>
        <w:t>Surgery</w:t>
      </w:r>
    </w:p>
    <w:p w14:paraId="29B7C986" w14:textId="77777777" w:rsidR="001B6ABB" w:rsidRDefault="00000000">
      <w:pPr>
        <w:pStyle w:val="BodyText"/>
        <w:tabs>
          <w:tab w:val="left" w:pos="3900"/>
          <w:tab w:val="left" w:pos="4418"/>
          <w:tab w:val="left" w:pos="5291"/>
          <w:tab w:val="left" w:pos="6418"/>
        </w:tabs>
        <w:spacing w:before="120" w:line="230" w:lineRule="atLeast"/>
        <w:ind w:left="2428" w:right="934"/>
        <w:jc w:val="left"/>
      </w:pPr>
      <w:r>
        <w:rPr>
          <w:spacing w:val="-2"/>
        </w:rPr>
        <w:t>characteristics,</w:t>
      </w:r>
      <w:r>
        <w:tab/>
      </w:r>
      <w:r>
        <w:rPr>
          <w:spacing w:val="-4"/>
        </w:rPr>
        <w:t>the</w:t>
      </w:r>
      <w:r>
        <w:tab/>
      </w:r>
      <w:r>
        <w:rPr>
          <w:spacing w:val="-2"/>
        </w:rPr>
        <w:t>relative</w:t>
      </w:r>
      <w:r>
        <w:tab/>
      </w:r>
      <w:r>
        <w:rPr>
          <w:spacing w:val="-2"/>
        </w:rPr>
        <w:t>proportion</w:t>
      </w:r>
      <w:r>
        <w:tab/>
      </w:r>
      <w:r>
        <w:rPr>
          <w:spacing w:val="-6"/>
        </w:rPr>
        <w:t xml:space="preserve">of </w:t>
      </w:r>
      <w:r>
        <w:t>leukocytes,</w:t>
      </w:r>
      <w:r>
        <w:rPr>
          <w:spacing w:val="7"/>
        </w:rPr>
        <w:t xml:space="preserve"> </w:t>
      </w:r>
      <w:r>
        <w:t>cornified</w:t>
      </w:r>
      <w:r>
        <w:rPr>
          <w:spacing w:val="6"/>
        </w:rPr>
        <w:t xml:space="preserve"> </w:t>
      </w:r>
      <w:r>
        <w:t>epithelial</w:t>
      </w:r>
      <w:r>
        <w:rPr>
          <w:spacing w:val="2"/>
        </w:rPr>
        <w:t xml:space="preserve"> </w:t>
      </w:r>
      <w:r>
        <w:t>cells, and</w:t>
      </w:r>
      <w:r>
        <w:rPr>
          <w:spacing w:val="-2"/>
        </w:rPr>
        <w:t xml:space="preserve"> nucleated</w:t>
      </w:r>
    </w:p>
    <w:p w14:paraId="0ABADDA5" w14:textId="77777777" w:rsidR="001B6ABB" w:rsidRDefault="001B6ABB">
      <w:pPr>
        <w:spacing w:line="230" w:lineRule="atLeast"/>
        <w:sectPr w:rsidR="001B6ABB">
          <w:type w:val="continuous"/>
          <w:pgSz w:w="11910" w:h="16840"/>
          <w:pgMar w:top="1340" w:right="500" w:bottom="280" w:left="540" w:header="578" w:footer="0" w:gutter="0"/>
          <w:cols w:num="2" w:space="720" w:equalWidth="0">
            <w:col w:w="3311" w:space="40"/>
            <w:col w:w="7519"/>
          </w:cols>
        </w:sectPr>
      </w:pPr>
    </w:p>
    <w:p w14:paraId="3DD5ACC0" w14:textId="77777777" w:rsidR="001B6ABB" w:rsidRDefault="00000000">
      <w:pPr>
        <w:pStyle w:val="BodyText"/>
        <w:spacing w:line="199" w:lineRule="exact"/>
        <w:ind w:left="900"/>
      </w:pPr>
      <w:r>
        <w:t>The</w:t>
      </w:r>
      <w:r>
        <w:rPr>
          <w:spacing w:val="66"/>
        </w:rPr>
        <w:t xml:space="preserve"> </w:t>
      </w:r>
      <w:r>
        <w:t>vaginal</w:t>
      </w:r>
      <w:r>
        <w:rPr>
          <w:spacing w:val="71"/>
        </w:rPr>
        <w:t xml:space="preserve"> </w:t>
      </w:r>
      <w:r>
        <w:t>smear</w:t>
      </w:r>
      <w:r>
        <w:rPr>
          <w:spacing w:val="74"/>
        </w:rPr>
        <w:t xml:space="preserve"> </w:t>
      </w:r>
      <w:r>
        <w:t>examination</w:t>
      </w:r>
      <w:r>
        <w:rPr>
          <w:spacing w:val="75"/>
        </w:rPr>
        <w:t xml:space="preserve"> </w:t>
      </w:r>
      <w:r>
        <w:t>was</w:t>
      </w:r>
      <w:r>
        <w:rPr>
          <w:spacing w:val="68"/>
        </w:rPr>
        <w:t xml:space="preserve"> </w:t>
      </w:r>
      <w:r>
        <w:rPr>
          <w:spacing w:val="-2"/>
        </w:rPr>
        <w:t>performed</w:t>
      </w:r>
    </w:p>
    <w:p w14:paraId="4951293A" w14:textId="77777777" w:rsidR="001B6ABB" w:rsidRDefault="00000000">
      <w:pPr>
        <w:pStyle w:val="BodyText"/>
        <w:ind w:left="900" w:right="1"/>
      </w:pPr>
      <w:r>
        <w:t>during the successive 7 days after surgery. Vaginal contents were collected with a blunted Pasteur pipette by placing a small drop of saline into the vagina; the vaginal cells obtained were</w:t>
      </w:r>
      <w:r>
        <w:rPr>
          <w:spacing w:val="40"/>
        </w:rPr>
        <w:t xml:space="preserve"> </w:t>
      </w:r>
      <w:r>
        <w:t>immediately observed under a microscope Classified</w:t>
      </w:r>
      <w:r>
        <w:rPr>
          <w:spacing w:val="66"/>
        </w:rPr>
        <w:t xml:space="preserve">   </w:t>
      </w:r>
      <w:r>
        <w:t>in</w:t>
      </w:r>
      <w:r>
        <w:rPr>
          <w:spacing w:val="68"/>
        </w:rPr>
        <w:t xml:space="preserve">   </w:t>
      </w:r>
      <w:r>
        <w:t>terms</w:t>
      </w:r>
      <w:r>
        <w:rPr>
          <w:spacing w:val="67"/>
        </w:rPr>
        <w:t xml:space="preserve">   </w:t>
      </w:r>
      <w:r>
        <w:t>of</w:t>
      </w:r>
      <w:r>
        <w:rPr>
          <w:spacing w:val="66"/>
        </w:rPr>
        <w:t xml:space="preserve">   </w:t>
      </w:r>
      <w:r>
        <w:rPr>
          <w:spacing w:val="-2"/>
        </w:rPr>
        <w:t>morphological</w:t>
      </w:r>
    </w:p>
    <w:p w14:paraId="49A769FD" w14:textId="77777777" w:rsidR="001B6ABB" w:rsidRDefault="00000000">
      <w:pPr>
        <w:pStyle w:val="Heading1"/>
        <w:spacing w:before="118"/>
        <w:jc w:val="both"/>
      </w:pPr>
      <w:r>
        <w:t>PARAMETERS</w:t>
      </w:r>
      <w:r>
        <w:rPr>
          <w:spacing w:val="-10"/>
        </w:rPr>
        <w:t xml:space="preserve"> </w:t>
      </w:r>
      <w:r>
        <w:t>OF</w:t>
      </w:r>
      <w:r>
        <w:rPr>
          <w:spacing w:val="-10"/>
        </w:rPr>
        <w:t xml:space="preserve"> </w:t>
      </w:r>
      <w:r>
        <w:rPr>
          <w:spacing w:val="-2"/>
        </w:rPr>
        <w:t>BEHAVIOUR:</w:t>
      </w:r>
    </w:p>
    <w:p w14:paraId="3699F989" w14:textId="77777777" w:rsidR="001B6ABB" w:rsidRDefault="00000000">
      <w:pPr>
        <w:pStyle w:val="Heading2"/>
        <w:spacing w:before="164"/>
      </w:pPr>
      <w:r>
        <w:t>Elevated</w:t>
      </w:r>
      <w:r>
        <w:rPr>
          <w:spacing w:val="-11"/>
        </w:rPr>
        <w:t xml:space="preserve"> </w:t>
      </w:r>
      <w:r>
        <w:t>plus</w:t>
      </w:r>
      <w:r>
        <w:rPr>
          <w:spacing w:val="-4"/>
        </w:rPr>
        <w:t xml:space="preserve"> maze:</w:t>
      </w:r>
    </w:p>
    <w:p w14:paraId="4C06C274" w14:textId="77777777" w:rsidR="001B6ABB" w:rsidRDefault="00000000">
      <w:pPr>
        <w:pStyle w:val="BodyText"/>
        <w:spacing w:before="154"/>
        <w:ind w:left="900" w:right="1"/>
      </w:pPr>
      <w:r>
        <w:t>Cognitive impairment involves multiple domains including learning and memory so that retention</w:t>
      </w:r>
      <w:r>
        <w:rPr>
          <w:spacing w:val="40"/>
        </w:rPr>
        <w:t xml:space="preserve"> </w:t>
      </w:r>
      <w:r>
        <w:t>and acquisition memory processes were identified by elevated plus maze (EPM) [9].</w:t>
      </w:r>
    </w:p>
    <w:p w14:paraId="3A5EB322" w14:textId="77777777" w:rsidR="001B6ABB" w:rsidRDefault="00000000">
      <w:pPr>
        <w:pStyle w:val="BodyText"/>
        <w:spacing w:before="160"/>
        <w:ind w:left="900"/>
      </w:pPr>
      <w:r>
        <w:t>Transfer latency (TL) measurements on the raised plus maze on the first day (TL1) have been shown to serve as an index of learning and acquisition, whilst TL measurements on the second day (TL2) have</w:t>
      </w:r>
      <w:r>
        <w:rPr>
          <w:spacing w:val="-1"/>
        </w:rPr>
        <w:t xml:space="preserve"> </w:t>
      </w:r>
      <w:r>
        <w:t>been found</w:t>
      </w:r>
      <w:r>
        <w:rPr>
          <w:spacing w:val="-3"/>
        </w:rPr>
        <w:t xml:space="preserve"> </w:t>
      </w:r>
      <w:r>
        <w:t>to</w:t>
      </w:r>
      <w:r>
        <w:rPr>
          <w:spacing w:val="-3"/>
        </w:rPr>
        <w:t xml:space="preserve"> </w:t>
      </w:r>
      <w:r>
        <w:t>function as</w:t>
      </w:r>
      <w:r>
        <w:rPr>
          <w:spacing w:val="-8"/>
        </w:rPr>
        <w:t xml:space="preserve"> </w:t>
      </w:r>
      <w:r>
        <w:t>an index of</w:t>
      </w:r>
      <w:r>
        <w:rPr>
          <w:spacing w:val="-3"/>
        </w:rPr>
        <w:t xml:space="preserve"> </w:t>
      </w:r>
      <w:r>
        <w:t xml:space="preserve">memory and retrieval. </w:t>
      </w:r>
      <w:proofErr w:type="gramStart"/>
      <w:r>
        <w:t>therefore</w:t>
      </w:r>
      <w:proofErr w:type="gramEnd"/>
      <w:r>
        <w:t xml:space="preserve"> EPM was used for the </w:t>
      </w:r>
      <w:proofErr w:type="spellStart"/>
      <w:proofErr w:type="gramStart"/>
      <w:r>
        <w:t>memoryevaluation</w:t>
      </w:r>
      <w:proofErr w:type="spellEnd"/>
      <w:proofErr w:type="gramEnd"/>
      <w:r>
        <w:t xml:space="preserve"> in rats. EPM are </w:t>
      </w:r>
      <w:proofErr w:type="spellStart"/>
      <w:r>
        <w:t>widelyused</w:t>
      </w:r>
      <w:proofErr w:type="spellEnd"/>
      <w:r>
        <w:t xml:space="preserve"> for the testing of nootropic substances.</w:t>
      </w:r>
    </w:p>
    <w:p w14:paraId="5E0AF4C5" w14:textId="77777777" w:rsidR="001B6ABB" w:rsidRDefault="00000000">
      <w:pPr>
        <w:pStyle w:val="BodyText"/>
        <w:spacing w:before="158"/>
        <w:ind w:left="900"/>
      </w:pPr>
      <w:r>
        <w:t xml:space="preserve">The apparatus </w:t>
      </w:r>
      <w:proofErr w:type="gramStart"/>
      <w:r>
        <w:t>made</w:t>
      </w:r>
      <w:proofErr w:type="gramEnd"/>
      <w:r>
        <w:t xml:space="preserve"> up of Perspex plastic with the specific area which is 4 arms of 50 x 10 cm. The side walls of the two closed arms</w:t>
      </w:r>
      <w:r>
        <w:rPr>
          <w:spacing w:val="-1"/>
        </w:rPr>
        <w:t xml:space="preserve"> </w:t>
      </w:r>
      <w:r>
        <w:t>were 40 cm high. The equipment was given a plus sign appearance</w:t>
      </w:r>
      <w:r>
        <w:rPr>
          <w:spacing w:val="40"/>
        </w:rPr>
        <w:t xml:space="preserve"> </w:t>
      </w:r>
      <w:r>
        <w:t>by</w:t>
      </w:r>
      <w:r>
        <w:rPr>
          <w:spacing w:val="-1"/>
        </w:rPr>
        <w:t xml:space="preserve"> </w:t>
      </w:r>
      <w:r>
        <w:t>connecting</w:t>
      </w:r>
      <w:r>
        <w:rPr>
          <w:spacing w:val="-1"/>
        </w:rPr>
        <w:t xml:space="preserve"> </w:t>
      </w:r>
      <w:r>
        <w:t xml:space="preserve">the open and closed arms to a </w:t>
      </w:r>
      <w:proofErr w:type="spellStart"/>
      <w:r>
        <w:t>centre</w:t>
      </w:r>
      <w:proofErr w:type="spellEnd"/>
      <w:r>
        <w:t xml:space="preserve"> square (5 x 5 cm). The maze was elevated to a height</w:t>
      </w:r>
      <w:r>
        <w:rPr>
          <w:spacing w:val="-1"/>
        </w:rPr>
        <w:t xml:space="preserve"> </w:t>
      </w:r>
      <w:r>
        <w:t>of</w:t>
      </w:r>
      <w:r>
        <w:rPr>
          <w:spacing w:val="-7"/>
        </w:rPr>
        <w:t xml:space="preserve"> </w:t>
      </w:r>
      <w:r>
        <w:t>60cm</w:t>
      </w:r>
      <w:r>
        <w:rPr>
          <w:spacing w:val="-1"/>
        </w:rPr>
        <w:t xml:space="preserve"> </w:t>
      </w:r>
      <w:r>
        <w:t>from</w:t>
      </w:r>
      <w:r>
        <w:rPr>
          <w:spacing w:val="-1"/>
        </w:rPr>
        <w:t xml:space="preserve"> </w:t>
      </w:r>
      <w:r>
        <w:t>the</w:t>
      </w:r>
      <w:r>
        <w:rPr>
          <w:spacing w:val="-5"/>
        </w:rPr>
        <w:t xml:space="preserve"> </w:t>
      </w:r>
      <w:r>
        <w:t>ground.</w:t>
      </w:r>
      <w:r>
        <w:rPr>
          <w:spacing w:val="-1"/>
        </w:rPr>
        <w:t xml:space="preserve"> </w:t>
      </w:r>
      <w:r>
        <w:t>Mazes</w:t>
      </w:r>
      <w:r>
        <w:rPr>
          <w:spacing w:val="-4"/>
        </w:rPr>
        <w:t xml:space="preserve"> </w:t>
      </w:r>
      <w:r>
        <w:t>were</w:t>
      </w:r>
      <w:r>
        <w:rPr>
          <w:spacing w:val="-5"/>
        </w:rPr>
        <w:t xml:space="preserve"> </w:t>
      </w:r>
      <w:r>
        <w:t>left</w:t>
      </w:r>
      <w:r>
        <w:rPr>
          <w:spacing w:val="-1"/>
        </w:rPr>
        <w:t xml:space="preserve"> </w:t>
      </w:r>
      <w:r>
        <w:t xml:space="preserve">in the same location while the exam was being conducted in the lab, providing extra mazes for learning purposes. Each rat was placed in the middle </w:t>
      </w:r>
      <w:proofErr w:type="spellStart"/>
      <w:r>
        <w:t>ofthe</w:t>
      </w:r>
      <w:proofErr w:type="spellEnd"/>
      <w:r>
        <w:t xml:space="preserve"> EPM during a training session, given 30</w:t>
      </w:r>
      <w:r>
        <w:rPr>
          <w:spacing w:val="8"/>
        </w:rPr>
        <w:t xml:space="preserve"> </w:t>
      </w:r>
      <w:r>
        <w:t>seconds</w:t>
      </w:r>
      <w:r>
        <w:rPr>
          <w:spacing w:val="7"/>
        </w:rPr>
        <w:t xml:space="preserve"> </w:t>
      </w:r>
      <w:r>
        <w:t>to</w:t>
      </w:r>
      <w:r>
        <w:rPr>
          <w:spacing w:val="3"/>
        </w:rPr>
        <w:t xml:space="preserve"> </w:t>
      </w:r>
      <w:r>
        <w:t>explore</w:t>
      </w:r>
      <w:r>
        <w:rPr>
          <w:spacing w:val="6"/>
        </w:rPr>
        <w:t xml:space="preserve"> </w:t>
      </w:r>
      <w:r>
        <w:t>it,</w:t>
      </w:r>
      <w:r>
        <w:rPr>
          <w:spacing w:val="6"/>
        </w:rPr>
        <w:t xml:space="preserve"> </w:t>
      </w:r>
      <w:r>
        <w:t>and</w:t>
      </w:r>
      <w:r>
        <w:rPr>
          <w:spacing w:val="3"/>
        </w:rPr>
        <w:t xml:space="preserve"> </w:t>
      </w:r>
      <w:r>
        <w:t>then</w:t>
      </w:r>
      <w:r>
        <w:rPr>
          <w:spacing w:val="13"/>
        </w:rPr>
        <w:t xml:space="preserve"> </w:t>
      </w:r>
      <w:r>
        <w:t>taken</w:t>
      </w:r>
      <w:r>
        <w:rPr>
          <w:spacing w:val="8"/>
        </w:rPr>
        <w:t xml:space="preserve"> </w:t>
      </w:r>
      <w:r>
        <w:t>back</w:t>
      </w:r>
      <w:r>
        <w:rPr>
          <w:spacing w:val="9"/>
        </w:rPr>
        <w:t xml:space="preserve"> </w:t>
      </w:r>
      <w:r>
        <w:t>to</w:t>
      </w:r>
      <w:r>
        <w:rPr>
          <w:spacing w:val="4"/>
        </w:rPr>
        <w:t xml:space="preserve"> </w:t>
      </w:r>
      <w:r>
        <w:rPr>
          <w:spacing w:val="-5"/>
        </w:rPr>
        <w:t>its</w:t>
      </w:r>
    </w:p>
    <w:p w14:paraId="655D061A" w14:textId="77777777" w:rsidR="001B6ABB" w:rsidRDefault="00000000">
      <w:pPr>
        <w:pStyle w:val="BodyText"/>
        <w:spacing w:before="1"/>
        <w:ind w:left="900" w:right="2"/>
      </w:pPr>
      <w:r>
        <w:t>160 cages. Initial transfer latency (ITL) is the amount of time it takes a rat to go from an open</w:t>
      </w:r>
      <w:r>
        <w:rPr>
          <w:spacing w:val="40"/>
        </w:rPr>
        <w:t xml:space="preserve"> </w:t>
      </w:r>
      <w:r>
        <w:t>arm</w:t>
      </w:r>
      <w:r>
        <w:rPr>
          <w:spacing w:val="13"/>
        </w:rPr>
        <w:t xml:space="preserve"> </w:t>
      </w:r>
      <w:r>
        <w:t>and</w:t>
      </w:r>
      <w:r>
        <w:rPr>
          <w:spacing w:val="17"/>
        </w:rPr>
        <w:t xml:space="preserve"> </w:t>
      </w:r>
      <w:r>
        <w:t>into</w:t>
      </w:r>
      <w:r>
        <w:rPr>
          <w:spacing w:val="12"/>
        </w:rPr>
        <w:t xml:space="preserve"> </w:t>
      </w:r>
      <w:r>
        <w:t>one</w:t>
      </w:r>
      <w:r>
        <w:rPr>
          <w:spacing w:val="14"/>
        </w:rPr>
        <w:t xml:space="preserve"> </w:t>
      </w:r>
      <w:r>
        <w:t>of</w:t>
      </w:r>
      <w:r>
        <w:rPr>
          <w:spacing w:val="13"/>
        </w:rPr>
        <w:t xml:space="preserve"> </w:t>
      </w:r>
      <w:r>
        <w:t>the</w:t>
      </w:r>
      <w:r>
        <w:rPr>
          <w:spacing w:val="14"/>
        </w:rPr>
        <w:t xml:space="preserve"> </w:t>
      </w:r>
      <w:r>
        <w:t>closest</w:t>
      </w:r>
      <w:r>
        <w:rPr>
          <w:spacing w:val="18"/>
        </w:rPr>
        <w:t xml:space="preserve"> </w:t>
      </w:r>
      <w:r>
        <w:t>closed</w:t>
      </w:r>
      <w:r>
        <w:rPr>
          <w:spacing w:val="17"/>
        </w:rPr>
        <w:t xml:space="preserve"> </w:t>
      </w:r>
      <w:r>
        <w:t>arms.</w:t>
      </w:r>
      <w:r>
        <w:rPr>
          <w:spacing w:val="19"/>
        </w:rPr>
        <w:t xml:space="preserve"> </w:t>
      </w:r>
      <w:r>
        <w:rPr>
          <w:spacing w:val="-4"/>
        </w:rPr>
        <w:t>After</w:t>
      </w:r>
    </w:p>
    <w:p w14:paraId="3CBFF9CC" w14:textId="77777777" w:rsidR="001B6ABB" w:rsidRDefault="00000000">
      <w:pPr>
        <w:pStyle w:val="BodyText"/>
        <w:spacing w:before="36"/>
        <w:ind w:left="678" w:right="930"/>
      </w:pPr>
      <w:r>
        <w:br w:type="column"/>
      </w:r>
      <w:r>
        <w:t>epithelial cells</w:t>
      </w:r>
      <w:r>
        <w:rPr>
          <w:spacing w:val="-3"/>
        </w:rPr>
        <w:t xml:space="preserve"> </w:t>
      </w:r>
      <w:r>
        <w:t>could</w:t>
      </w:r>
      <w:r>
        <w:rPr>
          <w:spacing w:val="80"/>
        </w:rPr>
        <w:t xml:space="preserve"> </w:t>
      </w:r>
      <w:r>
        <w:t>be</w:t>
      </w:r>
      <w:r>
        <w:rPr>
          <w:spacing w:val="80"/>
        </w:rPr>
        <w:t xml:space="preserve"> </w:t>
      </w:r>
      <w:r>
        <w:t>estimated.</w:t>
      </w:r>
      <w:r>
        <w:rPr>
          <w:spacing w:val="-4"/>
        </w:rPr>
        <w:t xml:space="preserve"> </w:t>
      </w:r>
      <w:r>
        <w:t>The</w:t>
      </w:r>
      <w:r>
        <w:rPr>
          <w:spacing w:val="-5"/>
        </w:rPr>
        <w:t xml:space="preserve"> </w:t>
      </w:r>
      <w:r>
        <w:t>phases of</w:t>
      </w:r>
      <w:r>
        <w:rPr>
          <w:spacing w:val="40"/>
        </w:rPr>
        <w:t xml:space="preserve"> </w:t>
      </w:r>
      <w:r>
        <w:t>t h e estrus cycle could be</w:t>
      </w:r>
      <w:r>
        <w:rPr>
          <w:spacing w:val="80"/>
        </w:rPr>
        <w:t xml:space="preserve"> </w:t>
      </w:r>
      <w:r>
        <w:t xml:space="preserve">estimated further according to the differences in cellular appearance. When the leukocytes occupied </w:t>
      </w:r>
      <w:proofErr w:type="gramStart"/>
      <w:r>
        <w:t>the majority of</w:t>
      </w:r>
      <w:proofErr w:type="gramEnd"/>
      <w:r>
        <w:t xml:space="preserve"> the field for at least 4 days, the mice were considered</w:t>
      </w:r>
      <w:r>
        <w:rPr>
          <w:spacing w:val="40"/>
        </w:rPr>
        <w:t xml:space="preserve"> </w:t>
      </w:r>
      <w:r>
        <w:t>to have lost their estrus cycle, and the ovariectomy was successful [8].</w:t>
      </w:r>
    </w:p>
    <w:p w14:paraId="2BDEE598" w14:textId="77777777" w:rsidR="001B6ABB" w:rsidRDefault="00000000">
      <w:pPr>
        <w:pStyle w:val="BodyText"/>
        <w:spacing w:before="46"/>
        <w:ind w:left="678" w:right="929"/>
      </w:pPr>
      <w:r>
        <w:t xml:space="preserve">receiving ITL, the animal was given 30 seconds to explore </w:t>
      </w:r>
      <w:proofErr w:type="spellStart"/>
      <w:r>
        <w:t>themaze</w:t>
      </w:r>
      <w:proofErr w:type="spellEnd"/>
      <w:r>
        <w:t xml:space="preserve"> before being returned to its home cage. The </w:t>
      </w:r>
      <w:proofErr w:type="spellStart"/>
      <w:r>
        <w:t>wistar</w:t>
      </w:r>
      <w:proofErr w:type="spellEnd"/>
      <w:r>
        <w:t xml:space="preserve"> rat was repositioned on the </w:t>
      </w:r>
      <w:proofErr w:type="spellStart"/>
      <w:r>
        <w:t>openarm</w:t>
      </w:r>
      <w:proofErr w:type="spellEnd"/>
      <w:r>
        <w:t xml:space="preserve"> 24 hours after ITL, and the retention latency was documented as "retention transfer latency" (RTL). The rat who stayed more than 5 minutes on the open arm or left the </w:t>
      </w:r>
      <w:proofErr w:type="spellStart"/>
      <w:r>
        <w:t>mazewas</w:t>
      </w:r>
      <w:proofErr w:type="spellEnd"/>
      <w:r>
        <w:t xml:space="preserve"> removed from the experiment [10].</w:t>
      </w:r>
    </w:p>
    <w:p w14:paraId="211AD3EF" w14:textId="77777777" w:rsidR="001B6ABB" w:rsidRDefault="00000000">
      <w:pPr>
        <w:pStyle w:val="Heading2"/>
        <w:spacing w:before="167"/>
        <w:ind w:left="678"/>
        <w:jc w:val="left"/>
      </w:pPr>
      <w:r>
        <w:rPr>
          <w:spacing w:val="-2"/>
        </w:rPr>
        <w:t>Locomotion:</w:t>
      </w:r>
    </w:p>
    <w:p w14:paraId="1D4137E4" w14:textId="77777777" w:rsidR="001B6ABB" w:rsidRDefault="00000000">
      <w:pPr>
        <w:pStyle w:val="BodyText"/>
        <w:spacing w:before="154"/>
        <w:ind w:left="678" w:right="930"/>
      </w:pPr>
      <w:r>
        <w:t>Because</w:t>
      </w:r>
      <w:r>
        <w:rPr>
          <w:spacing w:val="-7"/>
        </w:rPr>
        <w:t xml:space="preserve"> </w:t>
      </w:r>
      <w:r>
        <w:t>rats</w:t>
      </w:r>
      <w:r>
        <w:rPr>
          <w:spacing w:val="-5"/>
        </w:rPr>
        <w:t xml:space="preserve"> </w:t>
      </w:r>
      <w:r>
        <w:t>with Cognition are</w:t>
      </w:r>
      <w:r>
        <w:rPr>
          <w:spacing w:val="-7"/>
        </w:rPr>
        <w:t xml:space="preserve"> </w:t>
      </w:r>
      <w:r>
        <w:t>expected</w:t>
      </w:r>
      <w:r>
        <w:rPr>
          <w:spacing w:val="-4"/>
        </w:rPr>
        <w:t xml:space="preserve"> </w:t>
      </w:r>
      <w:r>
        <w:t>to</w:t>
      </w:r>
      <w:r>
        <w:rPr>
          <w:spacing w:val="-9"/>
        </w:rPr>
        <w:t xml:space="preserve"> </w:t>
      </w:r>
      <w:r>
        <w:t>display anxiety-like behavior, which increases activity in mice, locomotion activity is evaluated in them.</w:t>
      </w:r>
      <w:r>
        <w:rPr>
          <w:spacing w:val="80"/>
        </w:rPr>
        <w:t xml:space="preserve"> </w:t>
      </w:r>
      <w:r>
        <w:t>This is considered a symptom of cognitive [10].</w:t>
      </w:r>
    </w:p>
    <w:p w14:paraId="6A09E4EA" w14:textId="77777777" w:rsidR="001B6ABB" w:rsidRDefault="00000000">
      <w:pPr>
        <w:pStyle w:val="BodyText"/>
        <w:spacing w:before="161"/>
        <w:ind w:left="678" w:right="931"/>
      </w:pPr>
      <w:r>
        <w:t xml:space="preserve">The gadget </w:t>
      </w:r>
      <w:proofErr w:type="spellStart"/>
      <w:r>
        <w:t>Actophotometer</w:t>
      </w:r>
      <w:proofErr w:type="spellEnd"/>
      <w:r>
        <w:t xml:space="preserve"> was used to monitor locomotor activity. Throughout both the light and dark periods, the instrument </w:t>
      </w:r>
      <w:proofErr w:type="spellStart"/>
      <w:r>
        <w:t>actophotometer</w:t>
      </w:r>
      <w:proofErr w:type="spellEnd"/>
      <w:r>
        <w:t xml:space="preserve"> was utilized to observe locomotor activity. The equipment was turned on, and each group's rats were placed in the activity cage separately for 10 minutes while their basal activity scores were monitored and recorded. The following formula</w:t>
      </w:r>
      <w:r>
        <w:rPr>
          <w:spacing w:val="40"/>
        </w:rPr>
        <w:t xml:space="preserve"> </w:t>
      </w:r>
      <w:r>
        <w:t>was used to compute the percent decrease in motor activity for each animal: -</w:t>
      </w:r>
    </w:p>
    <w:p w14:paraId="189FE2F7" w14:textId="77777777" w:rsidR="001B6ABB" w:rsidRDefault="00000000">
      <w:pPr>
        <w:pStyle w:val="BodyText"/>
        <w:spacing w:before="163"/>
        <w:ind w:left="678" w:right="601"/>
        <w:jc w:val="left"/>
      </w:pPr>
      <w:r>
        <w:t>% Reduction in motor activity = (</w:t>
      </w:r>
      <w:proofErr w:type="spellStart"/>
      <w:r>
        <w:t>Wa</w:t>
      </w:r>
      <w:proofErr w:type="spellEnd"/>
      <w:r>
        <w:rPr>
          <w:spacing w:val="22"/>
        </w:rPr>
        <w:t xml:space="preserve"> </w:t>
      </w:r>
      <w:r>
        <w:t>–Wb/</w:t>
      </w:r>
      <w:proofErr w:type="spellStart"/>
      <w:r>
        <w:t>Wa</w:t>
      </w:r>
      <w:proofErr w:type="spellEnd"/>
      <w:r>
        <w:t xml:space="preserve">) × </w:t>
      </w:r>
      <w:r>
        <w:rPr>
          <w:spacing w:val="-2"/>
        </w:rPr>
        <w:t>100%.</w:t>
      </w:r>
    </w:p>
    <w:p w14:paraId="48D2DE2B" w14:textId="77777777" w:rsidR="001B6ABB" w:rsidRDefault="001B6ABB">
      <w:pPr>
        <w:sectPr w:rsidR="001B6ABB">
          <w:type w:val="continuous"/>
          <w:pgSz w:w="11910" w:h="16840"/>
          <w:pgMar w:top="1340" w:right="500" w:bottom="280" w:left="540" w:header="578" w:footer="0" w:gutter="0"/>
          <w:cols w:num="2" w:space="720" w:equalWidth="0">
            <w:col w:w="5062" w:space="40"/>
            <w:col w:w="5768"/>
          </w:cols>
        </w:sectPr>
      </w:pPr>
    </w:p>
    <w:p w14:paraId="5CA1F98D" w14:textId="77777777" w:rsidR="001B6ABB" w:rsidRDefault="00000000">
      <w:pPr>
        <w:pStyle w:val="BodyText"/>
        <w:spacing w:before="83" w:line="242" w:lineRule="auto"/>
        <w:ind w:left="900" w:right="1"/>
        <w:rPr>
          <w:b/>
        </w:rPr>
      </w:pPr>
      <w:r>
        <w:lastRenderedPageBreak/>
        <w:t xml:space="preserve">The mean activity ratings before and after therapy are </w:t>
      </w:r>
      <w:proofErr w:type="spellStart"/>
      <w:r>
        <w:t>Wa</w:t>
      </w:r>
      <w:proofErr w:type="spellEnd"/>
      <w:r>
        <w:t xml:space="preserve"> and Wb, respectively (Marongiu et al., </w:t>
      </w:r>
      <w:r>
        <w:rPr>
          <w:b/>
        </w:rPr>
        <w:t>Evaluation of catalepsy:</w:t>
      </w:r>
    </w:p>
    <w:p w14:paraId="4CEF7F92" w14:textId="77777777" w:rsidR="001B6ABB" w:rsidRDefault="00000000">
      <w:pPr>
        <w:pStyle w:val="BodyText"/>
        <w:spacing w:before="153"/>
        <w:ind w:left="900" w:right="1"/>
      </w:pPr>
      <w:r>
        <w:t>Catalepsy refers to an animal's incapacity to alter</w:t>
      </w:r>
      <w:r>
        <w:rPr>
          <w:spacing w:val="40"/>
        </w:rPr>
        <w:t xml:space="preserve"> </w:t>
      </w:r>
      <w:r>
        <w:t xml:space="preserve">an externally imposed position. It can be produced by the </w:t>
      </w:r>
      <w:proofErr w:type="spellStart"/>
      <w:r>
        <w:t>anaesthetic</w:t>
      </w:r>
      <w:proofErr w:type="spellEnd"/>
      <w:r>
        <w:t xml:space="preserve"> </w:t>
      </w:r>
      <w:proofErr w:type="spellStart"/>
      <w:r>
        <w:t>Overectomized</w:t>
      </w:r>
      <w:proofErr w:type="spellEnd"/>
      <w:r>
        <w:t xml:space="preserve">, which was employed to induce Cognitive </w:t>
      </w:r>
      <w:proofErr w:type="spellStart"/>
      <w:proofErr w:type="gramStart"/>
      <w:r>
        <w:t>functionsin</w:t>
      </w:r>
      <w:proofErr w:type="spellEnd"/>
      <w:proofErr w:type="gramEnd"/>
      <w:r>
        <w:t xml:space="preserve"> our investigation. The occurrence was seen while the mouse was lying on a 4 cm high bar in an enforced position with both forelimbs extended (0.4 cm diameter).</w:t>
      </w:r>
      <w:r>
        <w:rPr>
          <w:spacing w:val="-1"/>
        </w:rPr>
        <w:t xml:space="preserve"> </w:t>
      </w:r>
      <w:r>
        <w:t>For</w:t>
      </w:r>
      <w:r>
        <w:rPr>
          <w:spacing w:val="-2"/>
        </w:rPr>
        <w:t xml:space="preserve"> </w:t>
      </w:r>
      <w:r>
        <w:t>a</w:t>
      </w:r>
      <w:r>
        <w:rPr>
          <w:spacing w:val="-5"/>
        </w:rPr>
        <w:t xml:space="preserve"> </w:t>
      </w:r>
      <w:r>
        <w:t>maximum</w:t>
      </w:r>
      <w:r>
        <w:rPr>
          <w:spacing w:val="-1"/>
        </w:rPr>
        <w:t xml:space="preserve"> </w:t>
      </w:r>
      <w:r>
        <w:t>of</w:t>
      </w:r>
      <w:r>
        <w:rPr>
          <w:spacing w:val="-7"/>
        </w:rPr>
        <w:t xml:space="preserve"> </w:t>
      </w:r>
      <w:r>
        <w:t>300</w:t>
      </w:r>
      <w:r>
        <w:rPr>
          <w:spacing w:val="-2"/>
        </w:rPr>
        <w:t xml:space="preserve"> </w:t>
      </w:r>
      <w:r>
        <w:t>seconds,</w:t>
      </w:r>
      <w:r>
        <w:rPr>
          <w:spacing w:val="-4"/>
        </w:rPr>
        <w:t xml:space="preserve"> </w:t>
      </w:r>
      <w:r>
        <w:t>the</w:t>
      </w:r>
      <w:r>
        <w:rPr>
          <w:spacing w:val="-5"/>
        </w:rPr>
        <w:t xml:space="preserve"> </w:t>
      </w:r>
      <w:r>
        <w:t xml:space="preserve">total time the animal stayed on the bar with both forelimbs </w:t>
      </w:r>
      <w:proofErr w:type="gramStart"/>
      <w:r>
        <w:t>or</w:t>
      </w:r>
      <w:proofErr w:type="gramEnd"/>
      <w:r>
        <w:t xml:space="preserve"> even if it withdrew one limb was </w:t>
      </w:r>
      <w:r>
        <w:rPr>
          <w:spacing w:val="-2"/>
        </w:rPr>
        <w:t>recorded.</w:t>
      </w:r>
    </w:p>
    <w:p w14:paraId="1AFDECB7" w14:textId="77777777" w:rsidR="001B6ABB" w:rsidRDefault="00000000">
      <w:pPr>
        <w:pStyle w:val="Heading2"/>
        <w:spacing w:before="163"/>
      </w:pPr>
      <w:r>
        <w:t>MWM</w:t>
      </w:r>
      <w:r>
        <w:rPr>
          <w:spacing w:val="-3"/>
        </w:rPr>
        <w:t xml:space="preserve"> </w:t>
      </w:r>
      <w:r>
        <w:t>(Morris</w:t>
      </w:r>
      <w:r>
        <w:rPr>
          <w:spacing w:val="-6"/>
        </w:rPr>
        <w:t xml:space="preserve"> </w:t>
      </w:r>
      <w:r>
        <w:t>Water</w:t>
      </w:r>
      <w:r>
        <w:rPr>
          <w:spacing w:val="-7"/>
        </w:rPr>
        <w:t xml:space="preserve"> </w:t>
      </w:r>
      <w:r>
        <w:t>Maze)</w:t>
      </w:r>
      <w:r>
        <w:rPr>
          <w:spacing w:val="-9"/>
        </w:rPr>
        <w:t xml:space="preserve"> </w:t>
      </w:r>
      <w:r>
        <w:rPr>
          <w:spacing w:val="-4"/>
        </w:rPr>
        <w:t>Test:</w:t>
      </w:r>
    </w:p>
    <w:p w14:paraId="1A6EF8CE" w14:textId="77777777" w:rsidR="001B6ABB" w:rsidRDefault="00000000">
      <w:pPr>
        <w:pStyle w:val="BodyText"/>
        <w:spacing w:before="159"/>
        <w:ind w:left="900"/>
      </w:pPr>
      <w:r>
        <w:t>MWM</w:t>
      </w:r>
      <w:r>
        <w:rPr>
          <w:spacing w:val="-2"/>
        </w:rPr>
        <w:t xml:space="preserve"> </w:t>
      </w:r>
      <w:r>
        <w:t>is</w:t>
      </w:r>
      <w:r>
        <w:rPr>
          <w:spacing w:val="-2"/>
        </w:rPr>
        <w:t xml:space="preserve"> </w:t>
      </w:r>
      <w:r>
        <w:t>one</w:t>
      </w:r>
      <w:r>
        <w:rPr>
          <w:spacing w:val="-3"/>
        </w:rPr>
        <w:t xml:space="preserve"> </w:t>
      </w:r>
      <w:r>
        <w:t>of</w:t>
      </w:r>
      <w:r>
        <w:rPr>
          <w:spacing w:val="-5"/>
        </w:rPr>
        <w:t xml:space="preserve"> </w:t>
      </w:r>
      <w:r>
        <w:t>the</w:t>
      </w:r>
      <w:r>
        <w:rPr>
          <w:spacing w:val="-3"/>
        </w:rPr>
        <w:t xml:space="preserve"> </w:t>
      </w:r>
      <w:r>
        <w:t>animal models</w:t>
      </w:r>
      <w:r>
        <w:rPr>
          <w:spacing w:val="-2"/>
        </w:rPr>
        <w:t xml:space="preserve"> </w:t>
      </w:r>
      <w:r>
        <w:t>for memory</w:t>
      </w:r>
      <w:r>
        <w:rPr>
          <w:spacing w:val="-10"/>
        </w:rPr>
        <w:t xml:space="preserve"> </w:t>
      </w:r>
      <w:r>
        <w:t>and learning that is most frequently used. It's a well- known test for assessing spatial memory in rats.</w:t>
      </w:r>
      <w:r>
        <w:rPr>
          <w:spacing w:val="40"/>
        </w:rPr>
        <w:t xml:space="preserve"> </w:t>
      </w:r>
      <w:r>
        <w:t xml:space="preserve">The MWM approach involved submerging the animal in a pool of water. Because animals don’t like swimming, it was decided to build a </w:t>
      </w:r>
      <w:proofErr w:type="gramStart"/>
      <w:r>
        <w:t>run off</w:t>
      </w:r>
      <w:proofErr w:type="gramEnd"/>
      <w:r>
        <w:t xml:space="preserve"> platform to deter them from escaping the water. MWM</w:t>
      </w:r>
      <w:r>
        <w:rPr>
          <w:spacing w:val="-5"/>
        </w:rPr>
        <w:t xml:space="preserve"> </w:t>
      </w:r>
      <w:proofErr w:type="gramStart"/>
      <w:r>
        <w:t>constructed</w:t>
      </w:r>
      <w:proofErr w:type="gramEnd"/>
      <w:r>
        <w:rPr>
          <w:spacing w:val="-4"/>
        </w:rPr>
        <w:t xml:space="preserve"> </w:t>
      </w:r>
      <w:r>
        <w:t>by</w:t>
      </w:r>
      <w:r>
        <w:rPr>
          <w:spacing w:val="-13"/>
        </w:rPr>
        <w:t xml:space="preserve"> </w:t>
      </w:r>
      <w:r>
        <w:t>a</w:t>
      </w:r>
      <w:r>
        <w:rPr>
          <w:spacing w:val="-2"/>
        </w:rPr>
        <w:t xml:space="preserve"> </w:t>
      </w:r>
      <w:r>
        <w:t>big</w:t>
      </w:r>
      <w:r>
        <w:rPr>
          <w:spacing w:val="-4"/>
        </w:rPr>
        <w:t xml:space="preserve"> </w:t>
      </w:r>
      <w:r>
        <w:t>circular</w:t>
      </w:r>
      <w:r>
        <w:rPr>
          <w:spacing w:val="-4"/>
        </w:rPr>
        <w:t xml:space="preserve"> </w:t>
      </w:r>
      <w:r>
        <w:t>pool</w:t>
      </w:r>
      <w:r>
        <w:rPr>
          <w:spacing w:val="-2"/>
        </w:rPr>
        <w:t xml:space="preserve"> </w:t>
      </w:r>
      <w:r>
        <w:t>filled</w:t>
      </w:r>
      <w:r>
        <w:rPr>
          <w:spacing w:val="-4"/>
        </w:rPr>
        <w:t xml:space="preserve"> </w:t>
      </w:r>
      <w:r>
        <w:t>with 28 °C water (circle was off 150cm, 45cm height, and 30 cm in depth). The water was dyed white to make it opaque. With the use of two threads positioned at right angles on the pool's rim, the</w:t>
      </w:r>
      <w:r>
        <w:rPr>
          <w:spacing w:val="80"/>
        </w:rPr>
        <w:t xml:space="preserve"> </w:t>
      </w:r>
      <w:r>
        <w:t xml:space="preserve">pool was divided into </w:t>
      </w:r>
      <w:proofErr w:type="spellStart"/>
      <w:proofErr w:type="gramStart"/>
      <w:r>
        <w:t>fourequal</w:t>
      </w:r>
      <w:proofErr w:type="spellEnd"/>
      <w:proofErr w:type="gramEnd"/>
      <w:r>
        <w:t xml:space="preserve"> halves. </w:t>
      </w:r>
      <w:proofErr w:type="gramStart"/>
      <w:r>
        <w:t>Platform's</w:t>
      </w:r>
      <w:proofErr w:type="gramEnd"/>
      <w:r>
        <w:t xml:space="preserve"> location was not changed throughout the training session. Each rat had 4 consecutive trials each day, separated by a 5-minute break. Every trial's drop point</w:t>
      </w:r>
      <w:r>
        <w:rPr>
          <w:spacing w:val="-3"/>
        </w:rPr>
        <w:t xml:space="preserve"> </w:t>
      </w:r>
      <w:r>
        <w:t>was</w:t>
      </w:r>
      <w:r>
        <w:rPr>
          <w:spacing w:val="-1"/>
        </w:rPr>
        <w:t xml:space="preserve"> </w:t>
      </w:r>
      <w:r>
        <w:t>different,</w:t>
      </w:r>
      <w:r>
        <w:rPr>
          <w:spacing w:val="-2"/>
        </w:rPr>
        <w:t xml:space="preserve"> </w:t>
      </w:r>
      <w:r>
        <w:t>and the</w:t>
      </w:r>
      <w:r>
        <w:rPr>
          <w:spacing w:val="-8"/>
        </w:rPr>
        <w:t xml:space="preserve"> </w:t>
      </w:r>
      <w:r>
        <w:t>rat</w:t>
      </w:r>
      <w:r>
        <w:rPr>
          <w:spacing w:val="-3"/>
        </w:rPr>
        <w:t xml:space="preserve"> </w:t>
      </w:r>
      <w:r>
        <w:t>was</w:t>
      </w:r>
      <w:r>
        <w:rPr>
          <w:spacing w:val="-1"/>
        </w:rPr>
        <w:t xml:space="preserve"> </w:t>
      </w:r>
      <w:r>
        <w:t>gently</w:t>
      </w:r>
      <w:r>
        <w:rPr>
          <w:spacing w:val="-10"/>
        </w:rPr>
        <w:t xml:space="preserve"> </w:t>
      </w:r>
      <w:r>
        <w:t>placed in the</w:t>
      </w:r>
      <w:r>
        <w:rPr>
          <w:spacing w:val="-2"/>
        </w:rPr>
        <w:t xml:space="preserve"> </w:t>
      </w:r>
      <w:r>
        <w:t>water between quads,</w:t>
      </w:r>
      <w:r>
        <w:rPr>
          <w:spacing w:val="-1"/>
        </w:rPr>
        <w:t xml:space="preserve"> </w:t>
      </w:r>
      <w:r>
        <w:t>facing</w:t>
      </w:r>
      <w:r>
        <w:rPr>
          <w:spacing w:val="-4"/>
        </w:rPr>
        <w:t xml:space="preserve"> </w:t>
      </w:r>
      <w:r>
        <w:t>the</w:t>
      </w:r>
      <w:r>
        <w:rPr>
          <w:spacing w:val="-2"/>
        </w:rPr>
        <w:t xml:space="preserve"> </w:t>
      </w:r>
      <w:r>
        <w:t>wall</w:t>
      </w:r>
      <w:r>
        <w:rPr>
          <w:spacing w:val="-2"/>
        </w:rPr>
        <w:t xml:space="preserve"> </w:t>
      </w:r>
      <w:r>
        <w:t xml:space="preserve">pool, with 120 seconds to locate the flooded platform. The tank was split into four equal quadrants using 2 threads that were positioned at right angles to one another on </w:t>
      </w:r>
      <w:proofErr w:type="spellStart"/>
      <w:proofErr w:type="gramStart"/>
      <w:r>
        <w:t>theside</w:t>
      </w:r>
      <w:proofErr w:type="spellEnd"/>
      <w:proofErr w:type="gramEnd"/>
      <w:r>
        <w:t xml:space="preserve"> of the pool. Inside the target quadrants of this pool, a white-painted deluged platform (10 cm2) was positioned 1cm below the water's</w:t>
      </w:r>
      <w:r>
        <w:rPr>
          <w:spacing w:val="-5"/>
        </w:rPr>
        <w:t xml:space="preserve"> </w:t>
      </w:r>
      <w:r>
        <w:t>surface.</w:t>
      </w:r>
      <w:r>
        <w:rPr>
          <w:spacing w:val="-6"/>
        </w:rPr>
        <w:t xml:space="preserve"> </w:t>
      </w:r>
      <w:r>
        <w:t>Throughout</w:t>
      </w:r>
      <w:r>
        <w:rPr>
          <w:spacing w:val="-7"/>
        </w:rPr>
        <w:t xml:space="preserve"> </w:t>
      </w:r>
      <w:r>
        <w:t>the</w:t>
      </w:r>
      <w:r>
        <w:rPr>
          <w:spacing w:val="-11"/>
        </w:rPr>
        <w:t xml:space="preserve"> </w:t>
      </w:r>
      <w:r>
        <w:t>learning</w:t>
      </w:r>
      <w:r>
        <w:rPr>
          <w:spacing w:val="-4"/>
        </w:rPr>
        <w:t xml:space="preserve"> </w:t>
      </w:r>
      <w:proofErr w:type="spellStart"/>
      <w:proofErr w:type="gramStart"/>
      <w:r>
        <w:t>session,the</w:t>
      </w:r>
      <w:proofErr w:type="spellEnd"/>
      <w:proofErr w:type="gramEnd"/>
      <w:r>
        <w:t xml:space="preserve"> location of </w:t>
      </w:r>
      <w:proofErr w:type="gramStart"/>
      <w:r>
        <w:t>platform</w:t>
      </w:r>
      <w:proofErr w:type="gramEnd"/>
      <w:r>
        <w:t xml:space="preserve"> was not changed. Each rat had 4 consecutive trials each day, separated by a 5- minute break. Each trial's drop point was different, and the rat was </w:t>
      </w:r>
      <w:proofErr w:type="spellStart"/>
      <w:r>
        <w:t>gentlyplaced</w:t>
      </w:r>
      <w:proofErr w:type="spellEnd"/>
      <w:r>
        <w:t xml:space="preserve"> in the water between quads, facing the pool wall, with 120 seconds to locate the flooded platform. It was then permitted</w:t>
      </w:r>
      <w:r>
        <w:rPr>
          <w:spacing w:val="40"/>
        </w:rPr>
        <w:t xml:space="preserve"> </w:t>
      </w:r>
      <w:r>
        <w:t>to relax on the platform.</w:t>
      </w:r>
    </w:p>
    <w:p w14:paraId="2E4BC5E3" w14:textId="77777777" w:rsidR="001B6ABB" w:rsidRDefault="00000000">
      <w:pPr>
        <w:pStyle w:val="Heading2"/>
        <w:spacing w:before="165"/>
      </w:pPr>
      <w:r>
        <w:t>Trial</w:t>
      </w:r>
      <w:r>
        <w:rPr>
          <w:spacing w:val="-1"/>
        </w:rPr>
        <w:t xml:space="preserve"> </w:t>
      </w:r>
      <w:r>
        <w:rPr>
          <w:spacing w:val="-2"/>
        </w:rPr>
        <w:t>acquisition:</w:t>
      </w:r>
    </w:p>
    <w:p w14:paraId="2BF36125" w14:textId="77777777" w:rsidR="001B6ABB" w:rsidRDefault="00000000">
      <w:pPr>
        <w:pStyle w:val="BodyText"/>
        <w:spacing w:before="154"/>
        <w:ind w:left="900" w:right="1"/>
      </w:pPr>
      <w:r>
        <w:t>Every day, four trials were performed on each rat.</w:t>
      </w:r>
      <w:r>
        <w:rPr>
          <w:spacing w:val="40"/>
        </w:rPr>
        <w:t xml:space="preserve"> </w:t>
      </w:r>
      <w:r>
        <w:t>A 5-minute rest period was permitted in between each trial. Over the course of four days, there were four trials. As illustrated below, the beginning position for four acquisition trials was altered each day, with Q4 serving as the target quadrant in each experiment. We assessed whether acquisition had taken place by measuring the mean escape latency time (ELT) for every day of the acquisition trials.</w:t>
      </w:r>
    </w:p>
    <w:p w14:paraId="32E28D74" w14:textId="77777777" w:rsidR="001B6ABB" w:rsidRDefault="00000000">
      <w:pPr>
        <w:pStyle w:val="BodyText"/>
        <w:spacing w:before="83"/>
        <w:ind w:left="678"/>
        <w:jc w:val="left"/>
      </w:pPr>
      <w:r>
        <w:br w:type="column"/>
      </w:r>
      <w:r>
        <w:rPr>
          <w:spacing w:val="-2"/>
        </w:rPr>
        <w:t>2012).</w:t>
      </w:r>
    </w:p>
    <w:p w14:paraId="385959C8" w14:textId="77777777" w:rsidR="001B6ABB" w:rsidRDefault="001B6ABB">
      <w:pPr>
        <w:pStyle w:val="BodyText"/>
        <w:ind w:left="0"/>
        <w:jc w:val="left"/>
      </w:pPr>
    </w:p>
    <w:p w14:paraId="56D621CD" w14:textId="77777777" w:rsidR="001B6ABB" w:rsidRDefault="00000000">
      <w:pPr>
        <w:pStyle w:val="BodyText"/>
        <w:ind w:left="678" w:right="872"/>
        <w:jc w:val="left"/>
      </w:pPr>
      <w:r>
        <w:t>Day 1- q1: q2: q</w:t>
      </w:r>
      <w:proofErr w:type="gramStart"/>
      <w:r>
        <w:t>3:q</w:t>
      </w:r>
      <w:proofErr w:type="gramEnd"/>
      <w:r>
        <w:t>4 Day 2- q1: q2: q3:q4 Day 3- q1: q2: q3:q4 Day 4- q1: q2: q3:q4</w:t>
      </w:r>
    </w:p>
    <w:p w14:paraId="6FDB8EA2" w14:textId="77777777" w:rsidR="001B6ABB" w:rsidRDefault="00000000">
      <w:pPr>
        <w:pStyle w:val="Heading2"/>
        <w:spacing w:before="165"/>
        <w:ind w:left="678"/>
        <w:jc w:val="left"/>
      </w:pPr>
      <w:r>
        <w:t>Trial</w:t>
      </w:r>
      <w:r>
        <w:rPr>
          <w:spacing w:val="-1"/>
        </w:rPr>
        <w:t xml:space="preserve"> </w:t>
      </w:r>
      <w:r>
        <w:t>of</w:t>
      </w:r>
      <w:r>
        <w:rPr>
          <w:spacing w:val="-6"/>
        </w:rPr>
        <w:t xml:space="preserve"> </w:t>
      </w:r>
      <w:r>
        <w:rPr>
          <w:spacing w:val="-2"/>
        </w:rPr>
        <w:t>retrieval:</w:t>
      </w:r>
    </w:p>
    <w:p w14:paraId="54FBE2E6" w14:textId="77777777" w:rsidR="001B6ABB" w:rsidRDefault="00000000">
      <w:pPr>
        <w:pStyle w:val="BodyText"/>
        <w:spacing w:before="154"/>
        <w:ind w:left="678" w:right="929"/>
      </w:pPr>
      <w:r>
        <w:t>The platform was</w:t>
      </w:r>
      <w:r>
        <w:rPr>
          <w:spacing w:val="-1"/>
        </w:rPr>
        <w:t xml:space="preserve"> </w:t>
      </w:r>
      <w:r>
        <w:t>taken apart on the sixth day. The rat has 120 seconds to make its way through a</w:t>
      </w:r>
      <w:r>
        <w:rPr>
          <w:spacing w:val="40"/>
        </w:rPr>
        <w:t xml:space="preserve"> </w:t>
      </w:r>
      <w:r>
        <w:t>water maze. Each rat had four trials, each</w:t>
      </w:r>
      <w:r>
        <w:rPr>
          <w:spacing w:val="40"/>
        </w:rPr>
        <w:t xml:space="preserve"> </w:t>
      </w:r>
      <w:r>
        <w:t>beginning in a different quad. The average time spent</w:t>
      </w:r>
      <w:r>
        <w:rPr>
          <w:spacing w:val="-4"/>
        </w:rPr>
        <w:t xml:space="preserve"> </w:t>
      </w:r>
      <w:r>
        <w:t>in</w:t>
      </w:r>
      <w:r>
        <w:rPr>
          <w:spacing w:val="-1"/>
        </w:rPr>
        <w:t xml:space="preserve"> </w:t>
      </w:r>
      <w:r>
        <w:t>each</w:t>
      </w:r>
      <w:r>
        <w:rPr>
          <w:spacing w:val="-1"/>
        </w:rPr>
        <w:t xml:space="preserve"> </w:t>
      </w:r>
      <w:r>
        <w:t>of</w:t>
      </w:r>
      <w:r>
        <w:rPr>
          <w:spacing w:val="-6"/>
        </w:rPr>
        <w:t xml:space="preserve"> </w:t>
      </w:r>
      <w:r>
        <w:t>the</w:t>
      </w:r>
      <w:r>
        <w:rPr>
          <w:spacing w:val="-4"/>
        </w:rPr>
        <w:t xml:space="preserve"> </w:t>
      </w:r>
      <w:r>
        <w:t>three</w:t>
      </w:r>
      <w:r>
        <w:rPr>
          <w:spacing w:val="-4"/>
        </w:rPr>
        <w:t xml:space="preserve"> </w:t>
      </w:r>
      <w:r>
        <w:t>quadrants</w:t>
      </w:r>
      <w:r>
        <w:rPr>
          <w:spacing w:val="-7"/>
        </w:rPr>
        <w:t xml:space="preserve"> </w:t>
      </w:r>
      <w:r>
        <w:t>(q1, q2,</w:t>
      </w:r>
      <w:r>
        <w:rPr>
          <w:spacing w:val="-3"/>
        </w:rPr>
        <w:t xml:space="preserve"> </w:t>
      </w:r>
      <w:r>
        <w:t>and</w:t>
      </w:r>
      <w:r>
        <w:rPr>
          <w:spacing w:val="-6"/>
        </w:rPr>
        <w:t xml:space="preserve"> </w:t>
      </w:r>
      <w:r>
        <w:t>q3) was recorded, and the time spent looking for the missing platform in the target quadrant (q4) served as a retrieval index. The experimenter always remained</w:t>
      </w:r>
      <w:r>
        <w:rPr>
          <w:spacing w:val="-6"/>
        </w:rPr>
        <w:t xml:space="preserve"> </w:t>
      </w:r>
      <w:r>
        <w:t>in</w:t>
      </w:r>
      <w:r>
        <w:rPr>
          <w:spacing w:val="-1"/>
        </w:rPr>
        <w:t xml:space="preserve"> </w:t>
      </w:r>
      <w:r>
        <w:t>the</w:t>
      </w:r>
      <w:r>
        <w:rPr>
          <w:spacing w:val="-4"/>
        </w:rPr>
        <w:t xml:space="preserve"> </w:t>
      </w:r>
      <w:r>
        <w:t>same</w:t>
      </w:r>
      <w:r>
        <w:rPr>
          <w:spacing w:val="-9"/>
        </w:rPr>
        <w:t xml:space="preserve"> </w:t>
      </w:r>
      <w:r>
        <w:t>location.</w:t>
      </w:r>
      <w:r>
        <w:rPr>
          <w:spacing w:val="-3"/>
        </w:rPr>
        <w:t xml:space="preserve"> </w:t>
      </w:r>
      <w:r>
        <w:t>The</w:t>
      </w:r>
      <w:r>
        <w:rPr>
          <w:spacing w:val="-9"/>
        </w:rPr>
        <w:t xml:space="preserve"> </w:t>
      </w:r>
      <w:r>
        <w:t>relative</w:t>
      </w:r>
      <w:r>
        <w:rPr>
          <w:spacing w:val="-4"/>
        </w:rPr>
        <w:t xml:space="preserve"> </w:t>
      </w:r>
      <w:r>
        <w:t>location of the water maze in relation to other things in the laboratory</w:t>
      </w:r>
      <w:r>
        <w:rPr>
          <w:spacing w:val="-1"/>
        </w:rPr>
        <w:t xml:space="preserve"> </w:t>
      </w:r>
      <w:r>
        <w:t>setting as well as overt visual cues were rigorously analyzed during the experiment. Every trial was taken place between the</w:t>
      </w:r>
      <w:r>
        <w:rPr>
          <w:spacing w:val="-5"/>
        </w:rPr>
        <w:t xml:space="preserve"> </w:t>
      </w:r>
      <w:r>
        <w:t>hours</w:t>
      </w:r>
      <w:r>
        <w:rPr>
          <w:spacing w:val="-3"/>
        </w:rPr>
        <w:t xml:space="preserve"> </w:t>
      </w:r>
      <w:r>
        <w:t>of 9:00 and 18:00 [9, 10].</w:t>
      </w:r>
    </w:p>
    <w:p w14:paraId="5E3C69BE" w14:textId="77777777" w:rsidR="001B6ABB" w:rsidRDefault="00000000">
      <w:pPr>
        <w:pStyle w:val="Heading1"/>
        <w:spacing w:before="165"/>
        <w:ind w:left="678"/>
        <w:jc w:val="both"/>
      </w:pPr>
      <w:r>
        <w:t>BIOCHEMICAL</w:t>
      </w:r>
      <w:r>
        <w:rPr>
          <w:spacing w:val="-11"/>
        </w:rPr>
        <w:t xml:space="preserve"> </w:t>
      </w:r>
      <w:r>
        <w:rPr>
          <w:spacing w:val="-2"/>
        </w:rPr>
        <w:t>PARAMETERS:</w:t>
      </w:r>
    </w:p>
    <w:p w14:paraId="4EB19635" w14:textId="77777777" w:rsidR="001B6ABB" w:rsidRDefault="00000000">
      <w:pPr>
        <w:pStyle w:val="Heading2"/>
        <w:spacing w:before="164"/>
        <w:ind w:left="678"/>
        <w:jc w:val="left"/>
      </w:pPr>
      <w:r>
        <w:t>Samples</w:t>
      </w:r>
      <w:r>
        <w:rPr>
          <w:spacing w:val="-6"/>
        </w:rPr>
        <w:t xml:space="preserve"> </w:t>
      </w:r>
      <w:r>
        <w:rPr>
          <w:spacing w:val="-2"/>
        </w:rPr>
        <w:t>collection:</w:t>
      </w:r>
    </w:p>
    <w:p w14:paraId="0DDC5695" w14:textId="77777777" w:rsidR="001B6ABB" w:rsidRDefault="00000000">
      <w:pPr>
        <w:pStyle w:val="BodyText"/>
        <w:spacing w:before="154"/>
        <w:ind w:left="678" w:right="927"/>
      </w:pPr>
      <w:r>
        <w:t>For biochemical examination, blood samples were obtained by retro-orbital hemorrhage. The serum was obtained by centrifuging the blood for 15 minutes at 4000 rpm after 30 minutes at room temperature. The serum was then used for biochemical testing after that. Following the most recent retro-orbital hemorrhage, animals were</w:t>
      </w:r>
      <w:r>
        <w:rPr>
          <w:spacing w:val="40"/>
        </w:rPr>
        <w:t xml:space="preserve"> </w:t>
      </w:r>
      <w:r>
        <w:t>killed by cervical dislocation, and the brain matter was painstakingly removed. The separated brains were homogenized in phosphate buffer (pH 7.4, 10% w/v) using a Teflon homogenizer. The</w:t>
      </w:r>
      <w:r>
        <w:rPr>
          <w:spacing w:val="40"/>
        </w:rPr>
        <w:t xml:space="preserve"> </w:t>
      </w:r>
      <w:r>
        <w:t>mixture was then centrifuged for 15 minutes at</w:t>
      </w:r>
      <w:r>
        <w:rPr>
          <w:spacing w:val="40"/>
        </w:rPr>
        <w:t xml:space="preserve"> </w:t>
      </w:r>
      <w:r>
        <w:t>3000 rpm to extract the clear supernatant. The centrifuge tube's clear supernatant was carefully discarded and utilized. The centrifuge tube's clear supernatant was carefully removed and used in several biochemical studies.</w:t>
      </w:r>
    </w:p>
    <w:p w14:paraId="58F2581C" w14:textId="77777777" w:rsidR="001B6ABB" w:rsidRDefault="00000000">
      <w:pPr>
        <w:pStyle w:val="Heading2"/>
        <w:spacing w:before="167"/>
        <w:ind w:left="678"/>
        <w:jc w:val="left"/>
      </w:pPr>
      <w:r>
        <w:t>Assessment</w:t>
      </w:r>
      <w:r>
        <w:rPr>
          <w:spacing w:val="-8"/>
        </w:rPr>
        <w:t xml:space="preserve"> </w:t>
      </w:r>
      <w:r>
        <w:t>of</w:t>
      </w:r>
      <w:r>
        <w:rPr>
          <w:spacing w:val="-8"/>
        </w:rPr>
        <w:t xml:space="preserve"> </w:t>
      </w:r>
      <w:r>
        <w:t>brain</w:t>
      </w:r>
      <w:r>
        <w:rPr>
          <w:spacing w:val="-8"/>
        </w:rPr>
        <w:t xml:space="preserve"> </w:t>
      </w:r>
      <w:r>
        <w:t>nitrate/nitrate</w:t>
      </w:r>
      <w:r>
        <w:rPr>
          <w:spacing w:val="-10"/>
        </w:rPr>
        <w:t xml:space="preserve"> </w:t>
      </w:r>
      <w:r>
        <w:rPr>
          <w:spacing w:val="-4"/>
        </w:rPr>
        <w:t>level</w:t>
      </w:r>
    </w:p>
    <w:p w14:paraId="642B1D09" w14:textId="77777777" w:rsidR="001B6ABB" w:rsidRDefault="00000000">
      <w:pPr>
        <w:pStyle w:val="BodyText"/>
        <w:spacing w:before="154"/>
        <w:ind w:left="678" w:right="927"/>
      </w:pPr>
      <w:r>
        <w:t>UV-1800 ENG 240V was used to spectrophotometrically measure the amount of nitrite in the brain at 545 nm [11, 12].</w:t>
      </w:r>
    </w:p>
    <w:p w14:paraId="6505CD91" w14:textId="77777777" w:rsidR="001B6ABB" w:rsidRDefault="00000000">
      <w:pPr>
        <w:pStyle w:val="BodyText"/>
        <w:spacing w:before="160"/>
        <w:ind w:left="678" w:right="927"/>
      </w:pPr>
      <w:r>
        <w:t xml:space="preserve">In a nutshell, 100 </w:t>
      </w:r>
      <w:proofErr w:type="spellStart"/>
      <w:r>
        <w:t>litres</w:t>
      </w:r>
      <w:proofErr w:type="spellEnd"/>
      <w:r>
        <w:t xml:space="preserve"> of brain or a standard sample was mixed with 400 </w:t>
      </w:r>
      <w:proofErr w:type="spellStart"/>
      <w:r>
        <w:t>litres</w:t>
      </w:r>
      <w:proofErr w:type="spellEnd"/>
      <w:r>
        <w:t xml:space="preserve"> of buffer carbonate</w:t>
      </w:r>
      <w:r>
        <w:rPr>
          <w:spacing w:val="-4"/>
        </w:rPr>
        <w:t xml:space="preserve"> </w:t>
      </w:r>
      <w:r>
        <w:t>(pH</w:t>
      </w:r>
      <w:r>
        <w:rPr>
          <w:spacing w:val="-7"/>
        </w:rPr>
        <w:t xml:space="preserve"> </w:t>
      </w:r>
      <w:r>
        <w:t>9.0),</w:t>
      </w:r>
      <w:r>
        <w:rPr>
          <w:spacing w:val="40"/>
        </w:rPr>
        <w:t xml:space="preserve"> </w:t>
      </w:r>
      <w:r>
        <w:t>then</w:t>
      </w:r>
      <w:r>
        <w:rPr>
          <w:spacing w:val="-1"/>
        </w:rPr>
        <w:t xml:space="preserve"> </w:t>
      </w:r>
      <w:r>
        <w:t>0.15grammes</w:t>
      </w:r>
      <w:r>
        <w:rPr>
          <w:spacing w:val="-2"/>
        </w:rPr>
        <w:t xml:space="preserve"> </w:t>
      </w:r>
      <w:r>
        <w:t>of</w:t>
      </w:r>
      <w:r>
        <w:rPr>
          <w:spacing w:val="-6"/>
        </w:rPr>
        <w:t xml:space="preserve"> </w:t>
      </w:r>
      <w:r>
        <w:t>cadmium copper- alloy</w:t>
      </w:r>
      <w:r>
        <w:rPr>
          <w:spacing w:val="-2"/>
        </w:rPr>
        <w:t xml:space="preserve"> </w:t>
      </w:r>
      <w:r>
        <w:t>was added. The</w:t>
      </w:r>
      <w:r>
        <w:rPr>
          <w:spacing w:val="-1"/>
        </w:rPr>
        <w:t xml:space="preserve"> </w:t>
      </w:r>
      <w:r>
        <w:t>tubes were incubated at</w:t>
      </w:r>
      <w:r>
        <w:rPr>
          <w:spacing w:val="-1"/>
        </w:rPr>
        <w:t xml:space="preserve"> </w:t>
      </w:r>
      <w:r>
        <w:t>room temperature</w:t>
      </w:r>
      <w:r>
        <w:rPr>
          <w:spacing w:val="-1"/>
        </w:rPr>
        <w:t xml:space="preserve"> </w:t>
      </w:r>
      <w:r>
        <w:t xml:space="preserve">for an hour </w:t>
      </w:r>
      <w:proofErr w:type="gramStart"/>
      <w:r>
        <w:t>in order to</w:t>
      </w:r>
      <w:proofErr w:type="gramEnd"/>
      <w:r>
        <w:rPr>
          <w:spacing w:val="-3"/>
        </w:rPr>
        <w:t xml:space="preserve"> </w:t>
      </w:r>
      <w:r>
        <w:t xml:space="preserve">convert nitrate to nitrite. If 100 l of sodium hydroxide at 0.35M are added, the process </w:t>
      </w:r>
      <w:proofErr w:type="gramStart"/>
      <w:r>
        <w:t>was halt</w:t>
      </w:r>
      <w:proofErr w:type="gramEnd"/>
      <w:r>
        <w:t xml:space="preserve">. To deproteinize the samples, 400 l of a zinc sulphate solution were utilized next (120mM). Before being centrifuged for 10 minutes at 4000g, the samples were </w:t>
      </w:r>
      <w:proofErr w:type="gramStart"/>
      <w:r>
        <w:t>stand</w:t>
      </w:r>
      <w:proofErr w:type="gramEnd"/>
      <w:r>
        <w:t xml:space="preserve"> for 10 minutes. By spectrophotometrically measuring brain nitrite at 545nm</w:t>
      </w:r>
      <w:r>
        <w:rPr>
          <w:spacing w:val="25"/>
        </w:rPr>
        <w:t xml:space="preserve"> </w:t>
      </w:r>
      <w:r>
        <w:t>using</w:t>
      </w:r>
      <w:r>
        <w:rPr>
          <w:spacing w:val="23"/>
        </w:rPr>
        <w:t xml:space="preserve"> </w:t>
      </w:r>
      <w:r>
        <w:t>aliquots</w:t>
      </w:r>
      <w:r>
        <w:rPr>
          <w:spacing w:val="26"/>
        </w:rPr>
        <w:t xml:space="preserve"> </w:t>
      </w:r>
      <w:r>
        <w:t>(500</w:t>
      </w:r>
      <w:r>
        <w:rPr>
          <w:spacing w:val="24"/>
        </w:rPr>
        <w:t xml:space="preserve"> </w:t>
      </w:r>
      <w:r>
        <w:t>l)</w:t>
      </w:r>
      <w:r>
        <w:rPr>
          <w:spacing w:val="28"/>
        </w:rPr>
        <w:t xml:space="preserve"> </w:t>
      </w:r>
      <w:r>
        <w:t>of</w:t>
      </w:r>
      <w:r>
        <w:rPr>
          <w:spacing w:val="23"/>
        </w:rPr>
        <w:t xml:space="preserve"> </w:t>
      </w:r>
      <w:r>
        <w:t>clear</w:t>
      </w:r>
      <w:r>
        <w:rPr>
          <w:spacing w:val="34"/>
        </w:rPr>
        <w:t xml:space="preserve"> </w:t>
      </w:r>
      <w:r>
        <w:rPr>
          <w:spacing w:val="-2"/>
        </w:rPr>
        <w:t>supernatant</w:t>
      </w:r>
    </w:p>
    <w:p w14:paraId="2AAC11B6" w14:textId="77777777" w:rsidR="001B6ABB" w:rsidRDefault="001B6ABB">
      <w:pPr>
        <w:sectPr w:rsidR="001B6ABB">
          <w:pgSz w:w="11910" w:h="16840"/>
          <w:pgMar w:top="1340" w:right="500" w:bottom="280" w:left="540" w:header="578" w:footer="0" w:gutter="0"/>
          <w:cols w:num="2" w:space="720" w:equalWidth="0">
            <w:col w:w="5061" w:space="40"/>
            <w:col w:w="5769"/>
          </w:cols>
        </w:sectPr>
      </w:pPr>
    </w:p>
    <w:p w14:paraId="26304B62" w14:textId="77777777" w:rsidR="001B6ABB" w:rsidRDefault="00000000">
      <w:pPr>
        <w:pStyle w:val="BodyText"/>
        <w:spacing w:before="83"/>
        <w:ind w:left="900"/>
      </w:pPr>
      <w:r>
        <w:lastRenderedPageBreak/>
        <w:t xml:space="preserve">combined with Greiss reagent (250 l of 1.0 % sulfanilamide in 3 N HCl &amp; 250 l of 0.1% N- </w:t>
      </w:r>
      <w:proofErr w:type="spellStart"/>
      <w:r>
        <w:t>naphthylethylenediamine</w:t>
      </w:r>
      <w:proofErr w:type="spellEnd"/>
      <w:r>
        <w:t xml:space="preserve"> in water). The content of nitrite in the brain may be determined using the sodium nitrite standard curve (5 to 50 M).</w:t>
      </w:r>
    </w:p>
    <w:p w14:paraId="25C8C765" w14:textId="77777777" w:rsidR="001B6ABB" w:rsidRDefault="00000000">
      <w:pPr>
        <w:pStyle w:val="Heading2"/>
        <w:spacing w:before="166"/>
        <w:ind w:right="4"/>
      </w:pPr>
      <w:r>
        <w:t>Assessment of Acetyl Cholinesterase (</w:t>
      </w:r>
      <w:proofErr w:type="spellStart"/>
      <w:r>
        <w:t>AChE</w:t>
      </w:r>
      <w:proofErr w:type="spellEnd"/>
      <w:r>
        <w:t>) Activity in the Brain</w:t>
      </w:r>
    </w:p>
    <w:p w14:paraId="22962A89" w14:textId="77777777" w:rsidR="001B6ABB" w:rsidRDefault="00000000">
      <w:pPr>
        <w:pStyle w:val="BodyText"/>
        <w:spacing w:before="154"/>
        <w:ind w:left="900" w:right="1"/>
      </w:pPr>
      <w:r>
        <w:t xml:space="preserve">A spectrophotometer was used to quantify the amount of </w:t>
      </w:r>
      <w:proofErr w:type="spellStart"/>
      <w:r>
        <w:t>AChE</w:t>
      </w:r>
      <w:proofErr w:type="spellEnd"/>
      <w:r>
        <w:t xml:space="preserve"> activity in the brain at 420 nm (UV-1800 ENG 240V). In a nutshell, the creation</w:t>
      </w:r>
      <w:r>
        <w:rPr>
          <w:spacing w:val="40"/>
        </w:rPr>
        <w:t xml:space="preserve"> </w:t>
      </w:r>
      <w:r>
        <w:t xml:space="preserve">of a yellow color </w:t>
      </w:r>
      <w:proofErr w:type="gramStart"/>
      <w:r>
        <w:t>as a result of</w:t>
      </w:r>
      <w:proofErr w:type="gramEnd"/>
      <w:r>
        <w:t xml:space="preserve"> thiocholine's</w:t>
      </w:r>
      <w:r>
        <w:rPr>
          <w:spacing w:val="40"/>
        </w:rPr>
        <w:t xml:space="preserve"> </w:t>
      </w:r>
      <w:r>
        <w:t xml:space="preserve">reaction with </w:t>
      </w:r>
      <w:proofErr w:type="spellStart"/>
      <w:r>
        <w:t>dithiobisnitrobenzoate</w:t>
      </w:r>
      <w:proofErr w:type="spellEnd"/>
      <w:r>
        <w:t xml:space="preserve"> ions was used to determine this. The rate of thiocholine synthesis from acetylthiocholine iodide </w:t>
      </w:r>
      <w:proofErr w:type="spellStart"/>
      <w:r>
        <w:t>inthe</w:t>
      </w:r>
      <w:proofErr w:type="spellEnd"/>
      <w:r>
        <w:t xml:space="preserve"> presence of brain cholinesterase was measured using a spectrophotometer. We were use newly made DTNB [5,5'-dithiobis-(2-nitro benzoic acid)] solution to elute 0.5 ml of the brain homogenate's clear liquid supernatant in a 25</w:t>
      </w:r>
      <w:r>
        <w:rPr>
          <w:spacing w:val="-2"/>
        </w:rPr>
        <w:t xml:space="preserve"> </w:t>
      </w:r>
      <w:r>
        <w:t>ml volumetric flask (10</w:t>
      </w:r>
      <w:r>
        <w:rPr>
          <w:spacing w:val="-7"/>
        </w:rPr>
        <w:t xml:space="preserve"> </w:t>
      </w:r>
      <w:proofErr w:type="spellStart"/>
      <w:r>
        <w:t>milligrammes</w:t>
      </w:r>
      <w:proofErr w:type="spellEnd"/>
      <w:r>
        <w:rPr>
          <w:spacing w:val="-3"/>
        </w:rPr>
        <w:t xml:space="preserve"> </w:t>
      </w:r>
      <w:r>
        <w:t>of</w:t>
      </w:r>
      <w:r>
        <w:rPr>
          <w:spacing w:val="-7"/>
        </w:rPr>
        <w:t xml:space="preserve"> </w:t>
      </w:r>
      <w:r>
        <w:t>DTNB</w:t>
      </w:r>
      <w:r>
        <w:rPr>
          <w:spacing w:val="-7"/>
        </w:rPr>
        <w:t xml:space="preserve"> </w:t>
      </w:r>
      <w:r>
        <w:t>are</w:t>
      </w:r>
      <w:r>
        <w:rPr>
          <w:spacing w:val="-5"/>
        </w:rPr>
        <w:t xml:space="preserve"> </w:t>
      </w:r>
      <w:r>
        <w:t>dissolved</w:t>
      </w:r>
      <w:r>
        <w:rPr>
          <w:spacing w:val="-2"/>
        </w:rPr>
        <w:t xml:space="preserve"> </w:t>
      </w:r>
      <w:r>
        <w:t>in</w:t>
      </w:r>
      <w:r>
        <w:rPr>
          <w:spacing w:val="-2"/>
        </w:rPr>
        <w:t xml:space="preserve"> </w:t>
      </w:r>
      <w:r>
        <w:t>100</w:t>
      </w:r>
      <w:r>
        <w:rPr>
          <w:spacing w:val="-7"/>
        </w:rPr>
        <w:t xml:space="preserve"> </w:t>
      </w:r>
      <w:r>
        <w:t xml:space="preserve">ml of pH 8.0 Sorenson phosphate buffer). The volumetric flask was divided into two 4 ml parts, which were pipetted into two test tubes. One test tube received two drops of the eserine solution. Each test tube </w:t>
      </w:r>
      <w:proofErr w:type="gramStart"/>
      <w:r>
        <w:t>was received</w:t>
      </w:r>
      <w:proofErr w:type="gramEnd"/>
      <w:r>
        <w:t xml:space="preserve"> 1 mL of the substrate solution, which is 50 mL of distilled water and 75 mg of acetylcholine iodide. Using a spectrophotometer set at 420 nm, the test sample's change in absorbance per minute was calculated employing the eserine-containing test tube as a </w:t>
      </w:r>
      <w:r>
        <w:rPr>
          <w:spacing w:val="-2"/>
        </w:rPr>
        <w:t>control.</w:t>
      </w:r>
    </w:p>
    <w:p w14:paraId="75EA9020" w14:textId="77777777" w:rsidR="001B6ABB" w:rsidRDefault="00000000">
      <w:pPr>
        <w:pStyle w:val="Heading2"/>
        <w:spacing w:before="165"/>
        <w:ind w:right="10"/>
      </w:pPr>
      <w:r>
        <w:t xml:space="preserve">To calculate </w:t>
      </w:r>
      <w:proofErr w:type="spellStart"/>
      <w:r>
        <w:t>AChE</w:t>
      </w:r>
      <w:proofErr w:type="spellEnd"/>
      <w:r>
        <w:t xml:space="preserve"> activity, use the formula </w:t>
      </w:r>
      <w:r>
        <w:rPr>
          <w:spacing w:val="-2"/>
        </w:rPr>
        <w:t>below:</w:t>
      </w:r>
    </w:p>
    <w:p w14:paraId="42A80AF8" w14:textId="77777777" w:rsidR="001B6ABB" w:rsidRDefault="00000000">
      <w:pPr>
        <w:pStyle w:val="BodyText"/>
        <w:spacing w:before="155"/>
        <w:ind w:left="900" w:right="7"/>
      </w:pPr>
      <w:r>
        <w:t xml:space="preserve">R is </w:t>
      </w:r>
      <w:proofErr w:type="spellStart"/>
      <w:proofErr w:type="gramStart"/>
      <w:r>
        <w:t>equalto</w:t>
      </w:r>
      <w:proofErr w:type="spellEnd"/>
      <w:proofErr w:type="gramEnd"/>
      <w:r>
        <w:t xml:space="preserve"> O.D. x assay volume x E x mg of </w:t>
      </w:r>
      <w:r>
        <w:rPr>
          <w:spacing w:val="-2"/>
        </w:rPr>
        <w:t>protein.</w:t>
      </w:r>
    </w:p>
    <w:p w14:paraId="43B9A2F0" w14:textId="77777777" w:rsidR="001B6ABB" w:rsidRDefault="00000000">
      <w:pPr>
        <w:pStyle w:val="BodyText"/>
        <w:spacing w:before="168" w:line="235" w:lineRule="auto"/>
        <w:ind w:left="900" w:right="4"/>
      </w:pPr>
      <w:r>
        <w:t>Where</w:t>
      </w:r>
      <w:r>
        <w:rPr>
          <w:spacing w:val="-3"/>
        </w:rPr>
        <w:t xml:space="preserve"> </w:t>
      </w:r>
      <w:r>
        <w:t>R</w:t>
      </w:r>
      <w:r>
        <w:rPr>
          <w:spacing w:val="-5"/>
        </w:rPr>
        <w:t xml:space="preserve"> </w:t>
      </w:r>
      <w:r>
        <w:t>is</w:t>
      </w:r>
      <w:r>
        <w:rPr>
          <w:spacing w:val="-1"/>
        </w:rPr>
        <w:t xml:space="preserve"> </w:t>
      </w:r>
      <w:r>
        <w:t>the</w:t>
      </w:r>
      <w:r>
        <w:rPr>
          <w:spacing w:val="-8"/>
        </w:rPr>
        <w:t xml:space="preserve"> </w:t>
      </w:r>
      <w:r>
        <w:t>rate of enzyme activity</w:t>
      </w:r>
      <w:r>
        <w:rPr>
          <w:spacing w:val="-5"/>
        </w:rPr>
        <w:t xml:space="preserve"> </w:t>
      </w:r>
      <w:r>
        <w:t>in "n"</w:t>
      </w:r>
      <w:r>
        <w:rPr>
          <w:spacing w:val="-5"/>
        </w:rPr>
        <w:t xml:space="preserve"> </w:t>
      </w:r>
      <w:r>
        <w:t>moles of</w:t>
      </w:r>
      <w:r>
        <w:rPr>
          <w:spacing w:val="11"/>
        </w:rPr>
        <w:t xml:space="preserve"> </w:t>
      </w:r>
      <w:r>
        <w:t>acetylcholine</w:t>
      </w:r>
      <w:r>
        <w:rPr>
          <w:spacing w:val="13"/>
        </w:rPr>
        <w:t xml:space="preserve"> </w:t>
      </w:r>
      <w:r>
        <w:t>iodide</w:t>
      </w:r>
      <w:r>
        <w:rPr>
          <w:spacing w:val="8"/>
        </w:rPr>
        <w:t xml:space="preserve"> </w:t>
      </w:r>
      <w:r>
        <w:t>hydrolyzed</w:t>
      </w:r>
      <w:r>
        <w:rPr>
          <w:spacing w:val="16"/>
        </w:rPr>
        <w:t xml:space="preserve"> </w:t>
      </w:r>
      <w:r>
        <w:t>per</w:t>
      </w:r>
      <w:r>
        <w:rPr>
          <w:spacing w:val="16"/>
        </w:rPr>
        <w:t xml:space="preserve"> </w:t>
      </w:r>
      <w:r>
        <w:t>minute</w:t>
      </w:r>
      <w:r>
        <w:rPr>
          <w:spacing w:val="13"/>
        </w:rPr>
        <w:t xml:space="preserve"> </w:t>
      </w:r>
      <w:r>
        <w:rPr>
          <w:spacing w:val="-5"/>
        </w:rPr>
        <w:t>and</w:t>
      </w:r>
    </w:p>
    <w:p w14:paraId="43AC98AB" w14:textId="77777777" w:rsidR="001B6ABB" w:rsidRDefault="00000000">
      <w:pPr>
        <w:pStyle w:val="BodyText"/>
        <w:spacing w:before="2"/>
        <w:ind w:left="900"/>
        <w:jc w:val="left"/>
      </w:pPr>
      <w:r>
        <w:t>O.D.</w:t>
      </w:r>
      <w:r>
        <w:rPr>
          <w:spacing w:val="40"/>
        </w:rPr>
        <w:t xml:space="preserve"> </w:t>
      </w:r>
      <w:r>
        <w:t>is</w:t>
      </w:r>
      <w:r>
        <w:rPr>
          <w:spacing w:val="40"/>
        </w:rPr>
        <w:t xml:space="preserve"> </w:t>
      </w:r>
      <w:r>
        <w:t>the</w:t>
      </w:r>
      <w:r>
        <w:rPr>
          <w:spacing w:val="40"/>
        </w:rPr>
        <w:t xml:space="preserve"> </w:t>
      </w:r>
      <w:r>
        <w:t>change</w:t>
      </w:r>
      <w:r>
        <w:rPr>
          <w:spacing w:val="40"/>
        </w:rPr>
        <w:t xml:space="preserve"> </w:t>
      </w:r>
      <w:r>
        <w:t>in</w:t>
      </w:r>
      <w:r>
        <w:rPr>
          <w:spacing w:val="40"/>
        </w:rPr>
        <w:t xml:space="preserve"> </w:t>
      </w:r>
      <w:r>
        <w:t>absorbance</w:t>
      </w:r>
      <w:r>
        <w:rPr>
          <w:spacing w:val="40"/>
        </w:rPr>
        <w:t xml:space="preserve"> </w:t>
      </w:r>
      <w:r>
        <w:t>per</w:t>
      </w:r>
      <w:r>
        <w:rPr>
          <w:spacing w:val="40"/>
        </w:rPr>
        <w:t xml:space="preserve"> </w:t>
      </w:r>
      <w:r>
        <w:t>minute.</w:t>
      </w:r>
      <w:r>
        <w:rPr>
          <w:spacing w:val="80"/>
        </w:rPr>
        <w:t xml:space="preserve"> </w:t>
      </w:r>
      <w:r>
        <w:t>13600/M/cm is the extinction coefficient, or E.</w:t>
      </w:r>
    </w:p>
    <w:p w14:paraId="4F69BCE6" w14:textId="77777777" w:rsidR="001B6ABB" w:rsidRDefault="00000000">
      <w:pPr>
        <w:pStyle w:val="Heading2"/>
        <w:spacing w:before="169"/>
        <w:ind w:right="1"/>
      </w:pPr>
      <w:r>
        <w:t xml:space="preserve">Assessment of compounds reacting to </w:t>
      </w:r>
      <w:proofErr w:type="spellStart"/>
      <w:r>
        <w:t>thiobarbituric</w:t>
      </w:r>
      <w:proofErr w:type="spellEnd"/>
      <w:r>
        <w:t xml:space="preserve"> acid (TBARS):</w:t>
      </w:r>
    </w:p>
    <w:p w14:paraId="2680A929" w14:textId="77777777" w:rsidR="001B6ABB" w:rsidRDefault="00000000">
      <w:pPr>
        <w:pStyle w:val="BodyText"/>
        <w:spacing w:before="154"/>
        <w:ind w:left="900" w:right="1"/>
      </w:pPr>
      <w:r>
        <w:t>Oxidative stress has been connected to the pathophysiology of schizophrenia, and oxidative insults are well-known apoptotic triggers [13].</w:t>
      </w:r>
    </w:p>
    <w:p w14:paraId="30E6490F" w14:textId="77777777" w:rsidR="001B6ABB" w:rsidRDefault="00000000">
      <w:pPr>
        <w:pStyle w:val="BodyText"/>
        <w:spacing w:before="160"/>
        <w:ind w:left="900"/>
      </w:pPr>
      <w:proofErr w:type="spellStart"/>
      <w:r>
        <w:t>Thiobarbituric</w:t>
      </w:r>
      <w:proofErr w:type="spellEnd"/>
      <w:r>
        <w:t xml:space="preserve"> acid's reactive parts were computed. </w:t>
      </w:r>
      <w:proofErr w:type="spellStart"/>
      <w:r>
        <w:t>Thiobarbituric</w:t>
      </w:r>
      <w:proofErr w:type="spellEnd"/>
      <w:r>
        <w:rPr>
          <w:spacing w:val="-6"/>
        </w:rPr>
        <w:t xml:space="preserve"> </w:t>
      </w:r>
      <w:r>
        <w:t>acid</w:t>
      </w:r>
      <w:r>
        <w:rPr>
          <w:spacing w:val="-7"/>
        </w:rPr>
        <w:t xml:space="preserve"> </w:t>
      </w:r>
      <w:r>
        <w:t>reactive</w:t>
      </w:r>
      <w:r>
        <w:rPr>
          <w:spacing w:val="-6"/>
        </w:rPr>
        <w:t xml:space="preserve"> </w:t>
      </w:r>
      <w:r>
        <w:t>substances</w:t>
      </w:r>
      <w:r>
        <w:rPr>
          <w:spacing w:val="-4"/>
        </w:rPr>
        <w:t xml:space="preserve"> </w:t>
      </w:r>
      <w:r>
        <w:t>(TBARS),</w:t>
      </w:r>
      <w:r>
        <w:rPr>
          <w:spacing w:val="-1"/>
        </w:rPr>
        <w:t xml:space="preserve"> </w:t>
      </w:r>
      <w:r>
        <w:t>a marker of</w:t>
      </w:r>
      <w:r>
        <w:rPr>
          <w:spacing w:val="-5"/>
        </w:rPr>
        <w:t xml:space="preserve"> </w:t>
      </w:r>
      <w:r>
        <w:t>lipid</w:t>
      </w:r>
      <w:r>
        <w:rPr>
          <w:spacing w:val="-5"/>
        </w:rPr>
        <w:t xml:space="preserve"> </w:t>
      </w:r>
      <w:r>
        <w:t>peroxidation in</w:t>
      </w:r>
      <w:r>
        <w:rPr>
          <w:spacing w:val="-5"/>
        </w:rPr>
        <w:t xml:space="preserve"> </w:t>
      </w:r>
      <w:r>
        <w:t>the</w:t>
      </w:r>
      <w:r>
        <w:rPr>
          <w:spacing w:val="-3"/>
        </w:rPr>
        <w:t xml:space="preserve"> </w:t>
      </w:r>
      <w:r>
        <w:t>brain discovered by Sharma and Singh, were quantified. The homogenate</w:t>
      </w:r>
      <w:r>
        <w:rPr>
          <w:spacing w:val="-1"/>
        </w:rPr>
        <w:t xml:space="preserve"> </w:t>
      </w:r>
      <w:r>
        <w:t>supernatant</w:t>
      </w:r>
      <w:r>
        <w:rPr>
          <w:spacing w:val="-1"/>
        </w:rPr>
        <w:t xml:space="preserve"> </w:t>
      </w:r>
      <w:r>
        <w:t>was</w:t>
      </w:r>
      <w:r>
        <w:rPr>
          <w:spacing w:val="-4"/>
        </w:rPr>
        <w:t xml:space="preserve"> </w:t>
      </w:r>
      <w:r>
        <w:t>pipetted</w:t>
      </w:r>
      <w:r>
        <w:rPr>
          <w:spacing w:val="-3"/>
        </w:rPr>
        <w:t xml:space="preserve"> </w:t>
      </w:r>
      <w:r>
        <w:t>out</w:t>
      </w:r>
      <w:r>
        <w:rPr>
          <w:spacing w:val="-1"/>
        </w:rPr>
        <w:t xml:space="preserve"> </w:t>
      </w:r>
      <w:r>
        <w:t>into</w:t>
      </w:r>
      <w:r>
        <w:rPr>
          <w:spacing w:val="-3"/>
        </w:rPr>
        <w:t xml:space="preserve"> </w:t>
      </w:r>
      <w:r>
        <w:t>a</w:t>
      </w:r>
      <w:r>
        <w:rPr>
          <w:spacing w:val="-6"/>
        </w:rPr>
        <w:t xml:space="preserve"> </w:t>
      </w:r>
      <w:r>
        <w:t xml:space="preserve">test tube and then mixed with 0.2 ml of 8.1 percent sodium dodecyl sulphate, 1.5 ml of 30 percent acetic acid (pH 3.5), 1.5 ml of 0.8 percent </w:t>
      </w:r>
      <w:proofErr w:type="spellStart"/>
      <w:r>
        <w:t>thiobarbituric</w:t>
      </w:r>
      <w:proofErr w:type="spellEnd"/>
      <w:r>
        <w:t xml:space="preserve"> acid, and 4 ml of distilled water.</w:t>
      </w:r>
      <w:r>
        <w:rPr>
          <w:spacing w:val="40"/>
        </w:rPr>
        <w:t xml:space="preserve"> </w:t>
      </w:r>
      <w:r>
        <w:t>After the test tubes had been incubated at 95°C for an</w:t>
      </w:r>
      <w:r>
        <w:rPr>
          <w:spacing w:val="29"/>
        </w:rPr>
        <w:t xml:space="preserve"> </w:t>
      </w:r>
      <w:r>
        <w:t>hour,</w:t>
      </w:r>
      <w:r>
        <w:rPr>
          <w:spacing w:val="28"/>
        </w:rPr>
        <w:t xml:space="preserve"> </w:t>
      </w:r>
      <w:r>
        <w:t>5</w:t>
      </w:r>
      <w:r>
        <w:rPr>
          <w:spacing w:val="24"/>
        </w:rPr>
        <w:t xml:space="preserve"> </w:t>
      </w:r>
      <w:r>
        <w:t>ml</w:t>
      </w:r>
      <w:r>
        <w:rPr>
          <w:spacing w:val="27"/>
        </w:rPr>
        <w:t xml:space="preserve"> </w:t>
      </w:r>
      <w:r>
        <w:t>of</w:t>
      </w:r>
      <w:r>
        <w:rPr>
          <w:spacing w:val="24"/>
        </w:rPr>
        <w:t xml:space="preserve"> </w:t>
      </w:r>
      <w:r>
        <w:t>the</w:t>
      </w:r>
      <w:r>
        <w:rPr>
          <w:spacing w:val="27"/>
        </w:rPr>
        <w:t xml:space="preserve"> </w:t>
      </w:r>
      <w:r>
        <w:t>15:1</w:t>
      </w:r>
      <w:r>
        <w:rPr>
          <w:spacing w:val="29"/>
        </w:rPr>
        <w:t xml:space="preserve"> </w:t>
      </w:r>
      <w:r>
        <w:t>v/v</w:t>
      </w:r>
      <w:r>
        <w:rPr>
          <w:spacing w:val="20"/>
        </w:rPr>
        <w:t xml:space="preserve"> </w:t>
      </w:r>
      <w:r>
        <w:t>n-butanol-</w:t>
      </w:r>
      <w:r>
        <w:rPr>
          <w:spacing w:val="25"/>
        </w:rPr>
        <w:t xml:space="preserve"> </w:t>
      </w:r>
      <w:r>
        <w:rPr>
          <w:spacing w:val="-2"/>
        </w:rPr>
        <w:t>pyridine</w:t>
      </w:r>
    </w:p>
    <w:p w14:paraId="0D8DA303" w14:textId="77777777" w:rsidR="001B6ABB" w:rsidRDefault="00000000">
      <w:pPr>
        <w:pStyle w:val="BodyText"/>
        <w:spacing w:before="83"/>
        <w:ind w:left="677" w:right="928"/>
      </w:pPr>
      <w:r>
        <w:br w:type="column"/>
      </w:r>
      <w:r>
        <w:t>mixture was added to them. After then, the test tubes were cooled. For 10 minutes, the sample was centrifuged at 4000 g. The produced pink hue's absorbance was measured spectrophotometrically</w:t>
      </w:r>
      <w:r>
        <w:rPr>
          <w:spacing w:val="40"/>
        </w:rPr>
        <w:t xml:space="preserve"> </w:t>
      </w:r>
      <w:r>
        <w:t xml:space="preserve">at 532 nm. At doses ranging from 1 to 10 </w:t>
      </w:r>
      <w:proofErr w:type="spellStart"/>
      <w:proofErr w:type="gramStart"/>
      <w:r>
        <w:t>nM</w:t>
      </w:r>
      <w:proofErr w:type="spellEnd"/>
      <w:r>
        <w:t>, 1</w:t>
      </w:r>
      <w:proofErr w:type="gramEnd"/>
      <w:r>
        <w:t>, 1, 3, 3-tetra methoxy propane was used to create a standard calibration curve. The TBARS value was calculated using UV (UV-1800 ENG 240V) at 532nm and shown as</w:t>
      </w:r>
      <w:r>
        <w:rPr>
          <w:spacing w:val="-3"/>
        </w:rPr>
        <w:t xml:space="preserve"> </w:t>
      </w:r>
      <w:r>
        <w:t xml:space="preserve">nanomoles per mg of protein. </w:t>
      </w:r>
      <w:r>
        <w:rPr>
          <w:spacing w:val="-2"/>
        </w:rPr>
        <w:t>[14].</w:t>
      </w:r>
    </w:p>
    <w:p w14:paraId="0DB36669" w14:textId="77777777" w:rsidR="001B6ABB" w:rsidRDefault="00000000">
      <w:pPr>
        <w:pStyle w:val="Heading2"/>
        <w:spacing w:before="163"/>
        <w:ind w:left="677"/>
      </w:pPr>
      <w:r>
        <w:t>Brain</w:t>
      </w:r>
      <w:r>
        <w:rPr>
          <w:spacing w:val="-10"/>
        </w:rPr>
        <w:t xml:space="preserve"> </w:t>
      </w:r>
      <w:r>
        <w:t>glutathione</w:t>
      </w:r>
      <w:r>
        <w:rPr>
          <w:spacing w:val="-3"/>
        </w:rPr>
        <w:t xml:space="preserve"> </w:t>
      </w:r>
      <w:r>
        <w:t>(GSH)</w:t>
      </w:r>
      <w:r>
        <w:rPr>
          <w:spacing w:val="-9"/>
        </w:rPr>
        <w:t xml:space="preserve"> </w:t>
      </w:r>
      <w:r>
        <w:t>activity</w:t>
      </w:r>
      <w:r>
        <w:rPr>
          <w:spacing w:val="-8"/>
        </w:rPr>
        <w:t xml:space="preserve"> </w:t>
      </w:r>
      <w:r>
        <w:rPr>
          <w:spacing w:val="-2"/>
        </w:rPr>
        <w:t>assessment</w:t>
      </w:r>
    </w:p>
    <w:p w14:paraId="366C8617" w14:textId="77777777" w:rsidR="001B6ABB" w:rsidRDefault="00000000">
      <w:pPr>
        <w:pStyle w:val="BodyText"/>
        <w:spacing w:before="159"/>
        <w:ind w:left="677" w:right="929"/>
      </w:pPr>
      <w:r>
        <w:t xml:space="preserve">Cognitive </w:t>
      </w:r>
      <w:proofErr w:type="spellStart"/>
      <w:proofErr w:type="gramStart"/>
      <w:r>
        <w:t>functionspatients</w:t>
      </w:r>
      <w:proofErr w:type="spellEnd"/>
      <w:proofErr w:type="gramEnd"/>
      <w:r>
        <w:t xml:space="preserve"> have been found to have dysregulated glutathione (GSH) at the gene, protein, and functional levels [15].</w:t>
      </w:r>
    </w:p>
    <w:p w14:paraId="7C60DFD1" w14:textId="77777777" w:rsidR="001B6ABB" w:rsidRDefault="00000000">
      <w:pPr>
        <w:pStyle w:val="BodyText"/>
        <w:spacing w:before="160"/>
        <w:ind w:left="677" w:right="928"/>
      </w:pPr>
      <w:r>
        <w:t>A spectrophotometer was used to measure the amount of reduced glutathione (GSH) in the brain using spectrophotometry</w:t>
      </w:r>
      <w:r>
        <w:rPr>
          <w:spacing w:val="-3"/>
        </w:rPr>
        <w:t xml:space="preserve"> </w:t>
      </w:r>
      <w:r>
        <w:t>at 412nm</w:t>
      </w:r>
      <w:r>
        <w:rPr>
          <w:spacing w:val="-1"/>
        </w:rPr>
        <w:t xml:space="preserve"> </w:t>
      </w:r>
      <w:r>
        <w:t xml:space="preserve">(UV-1800 ENG 240V). In a nutshell, the homogenate supernatant was combined 1:1 with trichloroacetic acid (10% w/v). The tubes underwent a 1000 g, 10-minute, 4oC centrifugation. The resulting supernatant was combined with 2 ml of disodium hydrogen phosphate in an amount of 0.5 ml (0.3 M). After adding 0.25ml of newly made DTNB [5, 5'- </w:t>
      </w:r>
      <w:proofErr w:type="spellStart"/>
      <w:r>
        <w:t>dithiobis</w:t>
      </w:r>
      <w:proofErr w:type="spellEnd"/>
      <w:r>
        <w:t xml:space="preserve"> (2-nitrobenzoic acid) combined with 1 percent w/v sodium citrate] at 0.001 M, spectrophotometric absorbance was then measured. </w:t>
      </w:r>
      <w:r>
        <w:rPr>
          <w:spacing w:val="-2"/>
        </w:rPr>
        <w:t>[16].</w:t>
      </w:r>
    </w:p>
    <w:p w14:paraId="2B774F5C" w14:textId="77777777" w:rsidR="001B6ABB" w:rsidRDefault="00000000">
      <w:pPr>
        <w:pStyle w:val="Heading2"/>
        <w:spacing w:before="165"/>
        <w:ind w:left="677"/>
      </w:pPr>
      <w:r>
        <w:rPr>
          <w:spacing w:val="-2"/>
        </w:rPr>
        <w:t>Histopathology</w:t>
      </w:r>
      <w:r>
        <w:rPr>
          <w:spacing w:val="12"/>
        </w:rPr>
        <w:t xml:space="preserve"> </w:t>
      </w:r>
      <w:r>
        <w:rPr>
          <w:spacing w:val="-2"/>
        </w:rPr>
        <w:t>assessment</w:t>
      </w:r>
    </w:p>
    <w:p w14:paraId="1B2C4EC5" w14:textId="77777777" w:rsidR="001B6ABB" w:rsidRDefault="00000000">
      <w:pPr>
        <w:spacing w:before="159"/>
        <w:ind w:left="677"/>
        <w:jc w:val="both"/>
        <w:rPr>
          <w:b/>
          <w:sz w:val="20"/>
        </w:rPr>
      </w:pPr>
      <w:r>
        <w:rPr>
          <w:b/>
          <w:sz w:val="20"/>
        </w:rPr>
        <w:t>Staining</w:t>
      </w:r>
      <w:r>
        <w:rPr>
          <w:b/>
          <w:spacing w:val="-6"/>
          <w:sz w:val="20"/>
        </w:rPr>
        <w:t xml:space="preserve"> </w:t>
      </w:r>
      <w:r>
        <w:rPr>
          <w:b/>
          <w:sz w:val="20"/>
        </w:rPr>
        <w:t>with</w:t>
      </w:r>
      <w:r>
        <w:rPr>
          <w:b/>
          <w:spacing w:val="-6"/>
          <w:sz w:val="20"/>
        </w:rPr>
        <w:t xml:space="preserve"> </w:t>
      </w:r>
      <w:r>
        <w:rPr>
          <w:b/>
          <w:sz w:val="20"/>
        </w:rPr>
        <w:t>hematoxylin</w:t>
      </w:r>
      <w:r>
        <w:rPr>
          <w:b/>
          <w:spacing w:val="-6"/>
          <w:sz w:val="20"/>
        </w:rPr>
        <w:t xml:space="preserve"> </w:t>
      </w:r>
      <w:r>
        <w:rPr>
          <w:b/>
          <w:sz w:val="20"/>
        </w:rPr>
        <w:t>and</w:t>
      </w:r>
      <w:r>
        <w:rPr>
          <w:b/>
          <w:spacing w:val="-6"/>
          <w:sz w:val="20"/>
        </w:rPr>
        <w:t xml:space="preserve"> </w:t>
      </w:r>
      <w:r>
        <w:rPr>
          <w:b/>
          <w:sz w:val="20"/>
        </w:rPr>
        <w:t>eosin</w:t>
      </w:r>
      <w:r>
        <w:rPr>
          <w:b/>
          <w:spacing w:val="-6"/>
          <w:sz w:val="20"/>
        </w:rPr>
        <w:t xml:space="preserve"> </w:t>
      </w:r>
      <w:r>
        <w:rPr>
          <w:b/>
          <w:spacing w:val="-2"/>
          <w:sz w:val="20"/>
        </w:rPr>
        <w:t>(H&amp;E)</w:t>
      </w:r>
    </w:p>
    <w:p w14:paraId="0DD6A6F3" w14:textId="77777777" w:rsidR="001B6ABB" w:rsidRDefault="00000000">
      <w:pPr>
        <w:pStyle w:val="BodyText"/>
        <w:spacing w:before="154"/>
        <w:ind w:left="677" w:right="930"/>
      </w:pPr>
      <w:r>
        <w:t>The</w:t>
      </w:r>
      <w:r>
        <w:rPr>
          <w:spacing w:val="-5"/>
        </w:rPr>
        <w:t xml:space="preserve"> </w:t>
      </w:r>
      <w:r>
        <w:t>most used staining</w:t>
      </w:r>
      <w:r>
        <w:rPr>
          <w:spacing w:val="-7"/>
        </w:rPr>
        <w:t xml:space="preserve"> </w:t>
      </w:r>
      <w:r>
        <w:t>method in</w:t>
      </w:r>
      <w:r>
        <w:rPr>
          <w:spacing w:val="-2"/>
        </w:rPr>
        <w:t xml:space="preserve"> </w:t>
      </w:r>
      <w:r>
        <w:t>histopathology</w:t>
      </w:r>
      <w:r>
        <w:rPr>
          <w:spacing w:val="-7"/>
        </w:rPr>
        <w:t xml:space="preserve"> </w:t>
      </w:r>
      <w:r>
        <w:t>is hematoxylin and eosin (H&amp;E). Hematoxylin and eosin, as the name indicates, are the two dyes used in the</w:t>
      </w:r>
      <w:r>
        <w:rPr>
          <w:spacing w:val="-5"/>
        </w:rPr>
        <w:t xml:space="preserve"> </w:t>
      </w:r>
      <w:r>
        <w:t>H&amp;E stain.</w:t>
      </w:r>
      <w:r>
        <w:rPr>
          <w:spacing w:val="-4"/>
        </w:rPr>
        <w:t xml:space="preserve"> </w:t>
      </w:r>
      <w:r>
        <w:t>This</w:t>
      </w:r>
      <w:r>
        <w:rPr>
          <w:spacing w:val="-3"/>
        </w:rPr>
        <w:t xml:space="preserve"> </w:t>
      </w:r>
      <w:r>
        <w:t>mixture</w:t>
      </w:r>
      <w:r>
        <w:rPr>
          <w:spacing w:val="-5"/>
        </w:rPr>
        <w:t xml:space="preserve"> </w:t>
      </w:r>
      <w:r>
        <w:t>preferentially</w:t>
      </w:r>
      <w:r>
        <w:rPr>
          <w:spacing w:val="-11"/>
        </w:rPr>
        <w:t xml:space="preserve"> </w:t>
      </w:r>
      <w:r>
        <w:t>colors different</w:t>
      </w:r>
      <w:r>
        <w:rPr>
          <w:spacing w:val="-1"/>
        </w:rPr>
        <w:t xml:space="preserve"> </w:t>
      </w:r>
      <w:r>
        <w:t>tissue</w:t>
      </w:r>
      <w:r>
        <w:rPr>
          <w:spacing w:val="-5"/>
        </w:rPr>
        <w:t xml:space="preserve"> </w:t>
      </w:r>
      <w:r>
        <w:t>components</w:t>
      </w:r>
      <w:r>
        <w:rPr>
          <w:spacing w:val="-3"/>
        </w:rPr>
        <w:t xml:space="preserve"> </w:t>
      </w:r>
      <w:r>
        <w:t>and</w:t>
      </w:r>
      <w:r>
        <w:rPr>
          <w:spacing w:val="-7"/>
        </w:rPr>
        <w:t xml:space="preserve"> </w:t>
      </w:r>
      <w:r>
        <w:t>makes</w:t>
      </w:r>
      <w:r>
        <w:rPr>
          <w:spacing w:val="-3"/>
        </w:rPr>
        <w:t xml:space="preserve"> </w:t>
      </w:r>
      <w:r>
        <w:t>them</w:t>
      </w:r>
      <w:r>
        <w:rPr>
          <w:spacing w:val="-5"/>
        </w:rPr>
        <w:t xml:space="preserve"> </w:t>
      </w:r>
      <w:r>
        <w:t>simple to observe.</w:t>
      </w:r>
    </w:p>
    <w:p w14:paraId="7ECF6169" w14:textId="77777777" w:rsidR="001B6ABB" w:rsidRDefault="00000000">
      <w:pPr>
        <w:pStyle w:val="Heading2"/>
        <w:spacing w:before="167"/>
        <w:ind w:left="677"/>
        <w:jc w:val="left"/>
      </w:pPr>
      <w:r>
        <w:rPr>
          <w:spacing w:val="-2"/>
        </w:rPr>
        <w:t>Procedure:</w:t>
      </w:r>
    </w:p>
    <w:p w14:paraId="74D8EEA1" w14:textId="77777777" w:rsidR="001B6ABB" w:rsidRDefault="00000000">
      <w:pPr>
        <w:pStyle w:val="BodyText"/>
        <w:spacing w:before="154"/>
        <w:ind w:left="677" w:right="927"/>
      </w:pPr>
      <w:r>
        <w:t>Put the</w:t>
      </w:r>
      <w:r>
        <w:rPr>
          <w:spacing w:val="-3"/>
        </w:rPr>
        <w:t xml:space="preserve"> </w:t>
      </w:r>
      <w:r>
        <w:t>slide</w:t>
      </w:r>
      <w:r>
        <w:rPr>
          <w:spacing w:val="-3"/>
        </w:rPr>
        <w:t xml:space="preserve"> </w:t>
      </w:r>
      <w:r>
        <w:t>in the</w:t>
      </w:r>
      <w:r>
        <w:rPr>
          <w:spacing w:val="-3"/>
        </w:rPr>
        <w:t xml:space="preserve"> </w:t>
      </w:r>
      <w:r>
        <w:t>xylene while</w:t>
      </w:r>
      <w:r>
        <w:rPr>
          <w:spacing w:val="-3"/>
        </w:rPr>
        <w:t xml:space="preserve"> </w:t>
      </w:r>
      <w:r>
        <w:t>it</w:t>
      </w:r>
      <w:r>
        <w:rPr>
          <w:spacing w:val="-3"/>
        </w:rPr>
        <w:t xml:space="preserve"> </w:t>
      </w:r>
      <w:r>
        <w:t xml:space="preserve">is burning on the burner. To get rid of the wax, the procedure was </w:t>
      </w:r>
      <w:r>
        <w:rPr>
          <w:spacing w:val="-2"/>
        </w:rPr>
        <w:t>repeated.</w:t>
      </w:r>
    </w:p>
    <w:p w14:paraId="41478F7F" w14:textId="77777777" w:rsidR="001B6ABB" w:rsidRDefault="00000000">
      <w:pPr>
        <w:pStyle w:val="BodyText"/>
        <w:spacing w:before="159"/>
        <w:ind w:left="677" w:right="937"/>
      </w:pPr>
      <w:r>
        <w:t>Hydrated the tissue segment by passed it through alcohol bathed with progressively lower alcohol concentrations and water.</w:t>
      </w:r>
    </w:p>
    <w:p w14:paraId="7158E276" w14:textId="77777777" w:rsidR="001B6ABB" w:rsidRDefault="00000000">
      <w:pPr>
        <w:pStyle w:val="BodyText"/>
        <w:spacing w:before="160"/>
        <w:ind w:left="677" w:right="935"/>
      </w:pPr>
      <w:r>
        <w:t>Hematoxylin stained for three to five minutes. Washed</w:t>
      </w:r>
      <w:r>
        <w:rPr>
          <w:spacing w:val="-2"/>
        </w:rPr>
        <w:t xml:space="preserve"> </w:t>
      </w:r>
      <w:r>
        <w:t>in</w:t>
      </w:r>
      <w:r>
        <w:rPr>
          <w:spacing w:val="-2"/>
        </w:rPr>
        <w:t xml:space="preserve"> </w:t>
      </w:r>
      <w:r>
        <w:t>hot,</w:t>
      </w:r>
      <w:r>
        <w:rPr>
          <w:spacing w:val="-4"/>
        </w:rPr>
        <w:t xml:space="preserve"> </w:t>
      </w:r>
      <w:r>
        <w:t>running water for no</w:t>
      </w:r>
      <w:r>
        <w:rPr>
          <w:spacing w:val="-7"/>
        </w:rPr>
        <w:t xml:space="preserve"> </w:t>
      </w:r>
      <w:r>
        <w:t>more</w:t>
      </w:r>
      <w:r>
        <w:rPr>
          <w:spacing w:val="-5"/>
        </w:rPr>
        <w:t xml:space="preserve"> </w:t>
      </w:r>
      <w:r>
        <w:t>than five minutes, or until parts turn "blue."</w:t>
      </w:r>
    </w:p>
    <w:p w14:paraId="79F4B536" w14:textId="77777777" w:rsidR="001B6ABB" w:rsidRDefault="00000000">
      <w:pPr>
        <w:pStyle w:val="BodyText"/>
        <w:spacing w:before="167" w:line="237" w:lineRule="auto"/>
        <w:ind w:left="677" w:right="934"/>
      </w:pPr>
      <w:r>
        <w:t>After bluing, rinsed under running water. Dipped the parts in ammonia water until they</w:t>
      </w:r>
      <w:r>
        <w:rPr>
          <w:spacing w:val="-1"/>
        </w:rPr>
        <w:t xml:space="preserve"> </w:t>
      </w:r>
      <w:r>
        <w:t>become blue, then washed with tapped water.</w:t>
      </w:r>
    </w:p>
    <w:p w14:paraId="3BD8CBA2" w14:textId="77777777" w:rsidR="001B6ABB" w:rsidRDefault="001B6ABB">
      <w:pPr>
        <w:spacing w:line="237" w:lineRule="auto"/>
        <w:sectPr w:rsidR="001B6ABB">
          <w:pgSz w:w="11910" w:h="16840"/>
          <w:pgMar w:top="1340" w:right="500" w:bottom="280" w:left="540" w:header="578" w:footer="0" w:gutter="0"/>
          <w:cols w:num="2" w:space="720" w:equalWidth="0">
            <w:col w:w="5062" w:space="40"/>
            <w:col w:w="5768"/>
          </w:cols>
        </w:sectPr>
      </w:pPr>
    </w:p>
    <w:p w14:paraId="0708D8CD" w14:textId="77777777" w:rsidR="001B6ABB" w:rsidRDefault="00000000">
      <w:pPr>
        <w:pStyle w:val="BodyText"/>
        <w:spacing w:before="83"/>
        <w:ind w:left="900" w:right="1"/>
      </w:pPr>
      <w:r>
        <w:lastRenderedPageBreak/>
        <w:t xml:space="preserve">Removed superfluous dye from the section with precision. For 10 minutes, stained in 1% Eosin Y. Washed for one to five minutes in the sink. Dehydrated as the alcohol content </w:t>
      </w:r>
      <w:proofErr w:type="spellStart"/>
      <w:r>
        <w:t>rised</w:t>
      </w:r>
      <w:proofErr w:type="spellEnd"/>
      <w:r>
        <w:t>. For clearing, place the slides in two xylenes bathed.</w:t>
      </w:r>
      <w:r>
        <w:rPr>
          <w:spacing w:val="40"/>
        </w:rPr>
        <w:t xml:space="preserve"> </w:t>
      </w:r>
      <w:r>
        <w:t>Use mounted material such as DPX. Examined</w:t>
      </w:r>
      <w:r>
        <w:rPr>
          <w:spacing w:val="40"/>
        </w:rPr>
        <w:t xml:space="preserve"> </w:t>
      </w:r>
      <w:r>
        <w:t>with a compound microscope.</w:t>
      </w:r>
    </w:p>
    <w:p w14:paraId="7971E6DE" w14:textId="77777777" w:rsidR="001B6ABB" w:rsidRDefault="00000000">
      <w:pPr>
        <w:pStyle w:val="Heading2"/>
        <w:spacing w:before="166"/>
      </w:pPr>
      <w:r>
        <w:t>Statistical</w:t>
      </w:r>
      <w:r>
        <w:rPr>
          <w:spacing w:val="-7"/>
        </w:rPr>
        <w:t xml:space="preserve"> </w:t>
      </w:r>
      <w:r>
        <w:rPr>
          <w:spacing w:val="-2"/>
        </w:rPr>
        <w:t>analysis</w:t>
      </w:r>
    </w:p>
    <w:p w14:paraId="21B2CDE8" w14:textId="77777777" w:rsidR="001B6ABB" w:rsidRDefault="00000000">
      <w:pPr>
        <w:pStyle w:val="BodyText"/>
        <w:spacing w:before="154"/>
        <w:ind w:left="900"/>
      </w:pPr>
      <w:proofErr w:type="gramStart"/>
      <w:r>
        <w:t>In order to</w:t>
      </w:r>
      <w:proofErr w:type="gramEnd"/>
      <w:r>
        <w:t xml:space="preserve"> analyze the data, Graph Pad Prism 9.0 was used. The mean and </w:t>
      </w:r>
      <w:proofErr w:type="spellStart"/>
      <w:r>
        <w:t>standarddeviation</w:t>
      </w:r>
      <w:proofErr w:type="spellEnd"/>
      <w:r>
        <w:t xml:space="preserve"> were used to express each set of findings. Tukey's multiple range tests and one- way ANOVA were used to analyze the remaining data. Statistical significance was defined as a p value less than</w:t>
      </w:r>
      <w:r>
        <w:rPr>
          <w:spacing w:val="80"/>
        </w:rPr>
        <w:t xml:space="preserve"> </w:t>
      </w:r>
      <w:r>
        <w:rPr>
          <w:spacing w:val="-2"/>
        </w:rPr>
        <w:t>0.05.</w:t>
      </w:r>
    </w:p>
    <w:p w14:paraId="63920F7A" w14:textId="77777777" w:rsidR="001B6ABB" w:rsidRDefault="00000000">
      <w:pPr>
        <w:pStyle w:val="Heading1"/>
      </w:pPr>
      <w:r>
        <w:rPr>
          <w:spacing w:val="-2"/>
        </w:rPr>
        <w:t>RESULTS:</w:t>
      </w:r>
    </w:p>
    <w:p w14:paraId="75689F1F" w14:textId="77777777" w:rsidR="001B6ABB" w:rsidRDefault="00000000">
      <w:pPr>
        <w:pStyle w:val="Heading2"/>
        <w:spacing w:before="159"/>
        <w:ind w:right="6"/>
      </w:pPr>
      <w:r>
        <w:t>Impact of various agents utilizing Elevated plus maze on transfer latency (EPM):</w:t>
      </w:r>
    </w:p>
    <w:p w14:paraId="49AD665E" w14:textId="77777777" w:rsidR="001B6ABB" w:rsidRDefault="00000000">
      <w:pPr>
        <w:pStyle w:val="BodyText"/>
        <w:spacing w:before="155"/>
        <w:ind w:left="900"/>
      </w:pPr>
      <w:r>
        <w:t>As learning and memory are both disturbed in cognition, rats' learning and memory were</w:t>
      </w:r>
      <w:r>
        <w:rPr>
          <w:spacing w:val="40"/>
        </w:rPr>
        <w:t xml:space="preserve"> </w:t>
      </w:r>
      <w:r>
        <w:t>evaluated using the widely used Elevated Plus</w:t>
      </w:r>
      <w:r>
        <w:rPr>
          <w:spacing w:val="40"/>
        </w:rPr>
        <w:t xml:space="preserve"> </w:t>
      </w:r>
      <w:r>
        <w:t>Maze (EPM) 168]. When Ovariectomized was delivered to</w:t>
      </w:r>
      <w:r>
        <w:rPr>
          <w:spacing w:val="-3"/>
        </w:rPr>
        <w:t xml:space="preserve"> </w:t>
      </w:r>
      <w:r>
        <w:t>the</w:t>
      </w:r>
      <w:r>
        <w:rPr>
          <w:spacing w:val="-1"/>
        </w:rPr>
        <w:t xml:space="preserve"> </w:t>
      </w:r>
      <w:r>
        <w:t>animals, it was seen that</w:t>
      </w:r>
      <w:r>
        <w:rPr>
          <w:spacing w:val="-1"/>
        </w:rPr>
        <w:t xml:space="preserve"> </w:t>
      </w:r>
      <w:r>
        <w:t>their RTL was lower than their ITL in the same group and when compared to control animals. The effects of Ovariectomized on RTL utilizing EPM were</w:t>
      </w:r>
      <w:r>
        <w:rPr>
          <w:spacing w:val="40"/>
        </w:rPr>
        <w:t xml:space="preserve"> </w:t>
      </w:r>
      <w:r>
        <w:t xml:space="preserve">greatly mitigated by </w:t>
      </w:r>
      <w:proofErr w:type="spellStart"/>
      <w:r>
        <w:t>Ipriflavone</w:t>
      </w:r>
      <w:proofErr w:type="spellEnd"/>
      <w:r>
        <w:t xml:space="preserve"> and estradiol Valerate treatment (50 mg kg</w:t>
      </w:r>
      <w:r>
        <w:rPr>
          <w:vertAlign w:val="superscript"/>
        </w:rPr>
        <w:t>-1</w:t>
      </w:r>
      <w:r>
        <w:t xml:space="preserve"> and 100mg kg</w:t>
      </w:r>
      <w:r>
        <w:rPr>
          <w:vertAlign w:val="superscript"/>
        </w:rPr>
        <w:t>-1</w:t>
      </w:r>
      <w:r>
        <w:t xml:space="preserve">, </w:t>
      </w:r>
      <w:proofErr w:type="spellStart"/>
      <w:r>
        <w:t>p.o.</w:t>
      </w:r>
      <w:proofErr w:type="spellEnd"/>
      <w:r>
        <w:t xml:space="preserve">, 2 weeks). ITL and RTL were not significantly affected by the administration of </w:t>
      </w:r>
      <w:proofErr w:type="spellStart"/>
      <w:r>
        <w:t>Ipriflavone</w:t>
      </w:r>
      <w:proofErr w:type="spellEnd"/>
      <w:r>
        <w:t xml:space="preserve"> and estradiol Valerate (50mg kg</w:t>
      </w:r>
      <w:r>
        <w:rPr>
          <w:vertAlign w:val="superscript"/>
        </w:rPr>
        <w:t>-1</w:t>
      </w:r>
      <w:r>
        <w:t xml:space="preserve"> and 100mg kg</w:t>
      </w:r>
      <w:r>
        <w:rPr>
          <w:vertAlign w:val="superscript"/>
        </w:rPr>
        <w:t>-1</w:t>
      </w:r>
      <w:r>
        <w:t xml:space="preserve">, </w:t>
      </w:r>
      <w:proofErr w:type="spellStart"/>
      <w:r>
        <w:t>p.o.</w:t>
      </w:r>
      <w:proofErr w:type="spellEnd"/>
      <w:r>
        <w:t>, 2 weeks) (Fig.1).</w:t>
      </w:r>
    </w:p>
    <w:p w14:paraId="1C3CF29A" w14:textId="77777777" w:rsidR="001B6ABB" w:rsidRDefault="00000000">
      <w:pPr>
        <w:pStyle w:val="Heading2"/>
        <w:spacing w:before="165"/>
        <w:ind w:right="3"/>
      </w:pPr>
      <w:r>
        <w:t>The impact</w:t>
      </w:r>
      <w:r>
        <w:rPr>
          <w:spacing w:val="-3"/>
        </w:rPr>
        <w:t xml:space="preserve"> </w:t>
      </w:r>
      <w:r>
        <w:t>on time spent</w:t>
      </w:r>
      <w:r>
        <w:rPr>
          <w:spacing w:val="-3"/>
        </w:rPr>
        <w:t xml:space="preserve"> </w:t>
      </w:r>
      <w:r>
        <w:t>in the target quadrant using</w:t>
      </w:r>
      <w:r>
        <w:rPr>
          <w:spacing w:val="-4"/>
        </w:rPr>
        <w:t xml:space="preserve"> </w:t>
      </w:r>
      <w:r>
        <w:t>the</w:t>
      </w:r>
      <w:r>
        <w:rPr>
          <w:spacing w:val="-2"/>
        </w:rPr>
        <w:t xml:space="preserve"> </w:t>
      </w:r>
      <w:r>
        <w:t>Morris</w:t>
      </w:r>
      <w:r>
        <w:rPr>
          <w:spacing w:val="-5"/>
        </w:rPr>
        <w:t xml:space="preserve"> </w:t>
      </w:r>
      <w:r>
        <w:t>water</w:t>
      </w:r>
      <w:r>
        <w:rPr>
          <w:spacing w:val="-6"/>
        </w:rPr>
        <w:t xml:space="preserve"> </w:t>
      </w:r>
      <w:r>
        <w:t>maze</w:t>
      </w:r>
      <w:r>
        <w:rPr>
          <w:spacing w:val="-6"/>
        </w:rPr>
        <w:t xml:space="preserve"> </w:t>
      </w:r>
      <w:r>
        <w:t>(TSTQ)</w:t>
      </w:r>
      <w:r>
        <w:rPr>
          <w:spacing w:val="-4"/>
        </w:rPr>
        <w:t xml:space="preserve"> </w:t>
      </w:r>
      <w:r>
        <w:t>and</w:t>
      </w:r>
      <w:r>
        <w:rPr>
          <w:spacing w:val="-9"/>
        </w:rPr>
        <w:t xml:space="preserve"> </w:t>
      </w:r>
      <w:r>
        <w:t>escape latency time (ELT) (MWM):</w:t>
      </w:r>
    </w:p>
    <w:p w14:paraId="6933B83D" w14:textId="77777777" w:rsidR="001B6ABB" w:rsidRDefault="00000000">
      <w:pPr>
        <w:pStyle w:val="BodyText"/>
        <w:spacing w:before="155"/>
        <w:ind w:left="900"/>
      </w:pPr>
      <w:r>
        <w:t>One of the most popular and well acknowledged models to assess rats' memory and learning is MWM [169]. The ELT of control rats exhibited a decreasing</w:t>
      </w:r>
      <w:r>
        <w:rPr>
          <w:spacing w:val="-2"/>
        </w:rPr>
        <w:t xml:space="preserve"> </w:t>
      </w:r>
      <w:r>
        <w:t>trend. When compared</w:t>
      </w:r>
      <w:r>
        <w:rPr>
          <w:spacing w:val="-2"/>
        </w:rPr>
        <w:t xml:space="preserve"> </w:t>
      </w:r>
      <w:r>
        <w:t>to</w:t>
      </w:r>
      <w:r>
        <w:rPr>
          <w:spacing w:val="-2"/>
        </w:rPr>
        <w:t xml:space="preserve"> </w:t>
      </w:r>
      <w:r>
        <w:t xml:space="preserve">these rats' day 1 ELT, there was a considerable decline on day 4, which is consistent with their typical capacity for </w:t>
      </w:r>
      <w:r>
        <w:rPr>
          <w:spacing w:val="-2"/>
        </w:rPr>
        <w:t>learning.</w:t>
      </w:r>
    </w:p>
    <w:p w14:paraId="002FE224" w14:textId="77777777" w:rsidR="001B6ABB" w:rsidRDefault="00000000">
      <w:pPr>
        <w:pStyle w:val="BodyText"/>
        <w:spacing w:before="162"/>
        <w:ind w:left="900" w:right="4"/>
      </w:pPr>
      <w:r>
        <w:t>A significant increase in TSTQ was also seen on day 5 in comparison to the time spent in the other quadrants, which again suggested normal retrieval. Treatment to</w:t>
      </w:r>
      <w:r>
        <w:rPr>
          <w:spacing w:val="-2"/>
        </w:rPr>
        <w:t xml:space="preserve"> </w:t>
      </w:r>
      <w:r>
        <w:t>rats showed no</w:t>
      </w:r>
      <w:r>
        <w:rPr>
          <w:spacing w:val="-2"/>
        </w:rPr>
        <w:t xml:space="preserve"> </w:t>
      </w:r>
      <w:r>
        <w:t xml:space="preserve">appreciable impact on TSTQ and ELT compared to control rats. ELT and TSTQ did not significantly change </w:t>
      </w:r>
      <w:proofErr w:type="gramStart"/>
      <w:r>
        <w:t>as a result of</w:t>
      </w:r>
      <w:proofErr w:type="gramEnd"/>
      <w:r>
        <w:t xml:space="preserve"> </w:t>
      </w:r>
      <w:proofErr w:type="spellStart"/>
      <w:r>
        <w:t>Ipriflavone</w:t>
      </w:r>
      <w:proofErr w:type="spellEnd"/>
      <w:r>
        <w:t xml:space="preserve"> and estradiol Valerate treatment (doses 1 and 2). OVX rats showed a significantly higher ELT on day 3 (the sixth day of Ovariectomized treatment) compared to day 3 of control animals, indicating impairment of acquisition. (Fig.2 &amp; .3).</w:t>
      </w:r>
    </w:p>
    <w:p w14:paraId="48033AB9" w14:textId="77777777" w:rsidR="001B6ABB" w:rsidRDefault="00000000">
      <w:pPr>
        <w:pStyle w:val="Heading2"/>
        <w:spacing w:before="164"/>
      </w:pPr>
      <w:r>
        <w:t>Effect</w:t>
      </w:r>
      <w:r>
        <w:rPr>
          <w:spacing w:val="-4"/>
        </w:rPr>
        <w:t xml:space="preserve"> </w:t>
      </w:r>
      <w:r>
        <w:t>on</w:t>
      </w:r>
      <w:r>
        <w:rPr>
          <w:spacing w:val="-5"/>
        </w:rPr>
        <w:t xml:space="preserve"> </w:t>
      </w:r>
      <w:r>
        <w:t>locomotors</w:t>
      </w:r>
      <w:r>
        <w:rPr>
          <w:spacing w:val="-4"/>
        </w:rPr>
        <w:t xml:space="preserve"> </w:t>
      </w:r>
      <w:r>
        <w:t>activity</w:t>
      </w:r>
      <w:r>
        <w:rPr>
          <w:spacing w:val="-8"/>
        </w:rPr>
        <w:t xml:space="preserve"> </w:t>
      </w:r>
      <w:r>
        <w:t>and</w:t>
      </w:r>
      <w:r>
        <w:rPr>
          <w:spacing w:val="-4"/>
        </w:rPr>
        <w:t xml:space="preserve"> </w:t>
      </w:r>
      <w:r>
        <w:rPr>
          <w:spacing w:val="-2"/>
        </w:rPr>
        <w:t>catalepsy:</w:t>
      </w:r>
    </w:p>
    <w:p w14:paraId="3EF0952A" w14:textId="77777777" w:rsidR="001B6ABB" w:rsidRDefault="00000000">
      <w:pPr>
        <w:pStyle w:val="BodyText"/>
        <w:spacing w:before="83"/>
        <w:ind w:left="679" w:right="930"/>
      </w:pPr>
      <w:r>
        <w:br w:type="column"/>
      </w:r>
      <w:r>
        <w:t xml:space="preserve">Rats' catalepsy and locomotor activity both increased significantly after ovariectomized. Rats receiving </w:t>
      </w:r>
      <w:proofErr w:type="spellStart"/>
      <w:r>
        <w:t>Ipriflavone</w:t>
      </w:r>
      <w:proofErr w:type="spellEnd"/>
      <w:r>
        <w:t xml:space="preserve"> and estradiol Valerate (doses</w:t>
      </w:r>
      <w:r>
        <w:rPr>
          <w:spacing w:val="40"/>
        </w:rPr>
        <w:t xml:space="preserve"> </w:t>
      </w:r>
      <w:r>
        <w:t>1 and 2) saw a substantial reduction in catalepsy and locomotor activity (Fig.4).</w:t>
      </w:r>
    </w:p>
    <w:p w14:paraId="2E9738D6" w14:textId="77777777" w:rsidR="001B6ABB" w:rsidRDefault="00000000">
      <w:pPr>
        <w:pStyle w:val="Heading2"/>
        <w:spacing w:before="166"/>
        <w:ind w:left="679"/>
      </w:pPr>
      <w:r>
        <w:t>Impact</w:t>
      </w:r>
      <w:r>
        <w:rPr>
          <w:spacing w:val="-5"/>
        </w:rPr>
        <w:t xml:space="preserve"> </w:t>
      </w:r>
      <w:r>
        <w:t>on</w:t>
      </w:r>
      <w:r>
        <w:rPr>
          <w:spacing w:val="-5"/>
        </w:rPr>
        <w:t xml:space="preserve"> </w:t>
      </w:r>
      <w:r>
        <w:t>the</w:t>
      </w:r>
      <w:r>
        <w:rPr>
          <w:spacing w:val="-2"/>
        </w:rPr>
        <w:t xml:space="preserve"> </w:t>
      </w:r>
      <w:r>
        <w:t>activity</w:t>
      </w:r>
      <w:r>
        <w:rPr>
          <w:spacing w:val="-8"/>
        </w:rPr>
        <w:t xml:space="preserve"> </w:t>
      </w:r>
      <w:r>
        <w:t>of</w:t>
      </w:r>
      <w:r>
        <w:rPr>
          <w:spacing w:val="-4"/>
        </w:rPr>
        <w:t xml:space="preserve"> </w:t>
      </w:r>
      <w:r>
        <w:t>creatine</w:t>
      </w:r>
      <w:r>
        <w:rPr>
          <w:spacing w:val="-11"/>
        </w:rPr>
        <w:t xml:space="preserve"> </w:t>
      </w:r>
      <w:r>
        <w:rPr>
          <w:spacing w:val="-2"/>
        </w:rPr>
        <w:t>kinase:</w:t>
      </w:r>
    </w:p>
    <w:p w14:paraId="7A6C35A4" w14:textId="77777777" w:rsidR="001B6ABB" w:rsidRDefault="00000000">
      <w:pPr>
        <w:pStyle w:val="BodyText"/>
        <w:spacing w:before="154"/>
        <w:ind w:left="679" w:right="927"/>
      </w:pPr>
      <w:r>
        <w:t>When ovariectomy of female performed, the rat's serum CK activity increased significantly</w:t>
      </w:r>
      <w:r>
        <w:rPr>
          <w:spacing w:val="80"/>
        </w:rPr>
        <w:t xml:space="preserve"> </w:t>
      </w:r>
      <w:r>
        <w:t xml:space="preserve">compared to control rats, inhibiting the NMDA receptors. Rats treated with </w:t>
      </w:r>
      <w:proofErr w:type="spellStart"/>
      <w:r>
        <w:t>Ipriflavone</w:t>
      </w:r>
      <w:proofErr w:type="spellEnd"/>
      <w:r>
        <w:t xml:space="preserve"> and</w:t>
      </w:r>
      <w:r>
        <w:rPr>
          <w:spacing w:val="40"/>
        </w:rPr>
        <w:t xml:space="preserve"> </w:t>
      </w:r>
      <w:r>
        <w:t>estradiol Valerate have considerably lower CK activity</w:t>
      </w:r>
      <w:r>
        <w:rPr>
          <w:spacing w:val="-3"/>
        </w:rPr>
        <w:t xml:space="preserve"> </w:t>
      </w:r>
      <w:r>
        <w:t>(Fig.5).</w:t>
      </w:r>
    </w:p>
    <w:p w14:paraId="2452D4DB" w14:textId="77777777" w:rsidR="001B6ABB" w:rsidRDefault="00000000">
      <w:pPr>
        <w:pStyle w:val="Heading2"/>
        <w:spacing w:before="166"/>
        <w:ind w:left="679" w:right="934"/>
      </w:pPr>
      <w:r>
        <w:t xml:space="preserve">Effects on the brain's nitrite/nitrate </w:t>
      </w:r>
      <w:r>
        <w:rPr>
          <w:spacing w:val="-2"/>
        </w:rPr>
        <w:t>concentration:</w:t>
      </w:r>
    </w:p>
    <w:p w14:paraId="18BCAE34" w14:textId="77777777" w:rsidR="001B6ABB" w:rsidRDefault="00000000">
      <w:pPr>
        <w:pStyle w:val="BodyText"/>
        <w:spacing w:before="154"/>
        <w:ind w:left="679" w:right="927"/>
      </w:pPr>
      <w:r>
        <w:t xml:space="preserve">On comparison to control rats, surgery of ovarian led to a significantly higher concentration of brain nitrite. Ovariectomized </w:t>
      </w:r>
      <w:proofErr w:type="gramStart"/>
      <w:r>
        <w:t>rat has lower level</w:t>
      </w:r>
      <w:proofErr w:type="gramEnd"/>
      <w:r>
        <w:t xml:space="preserve"> of estrogen which increases in brain nitrite concentration were greatly mitigated by treatment with </w:t>
      </w:r>
      <w:proofErr w:type="spellStart"/>
      <w:r>
        <w:t>Ipriflavone</w:t>
      </w:r>
      <w:proofErr w:type="spellEnd"/>
      <w:r>
        <w:rPr>
          <w:spacing w:val="-7"/>
        </w:rPr>
        <w:t xml:space="preserve"> </w:t>
      </w:r>
      <w:r>
        <w:t>and</w:t>
      </w:r>
      <w:r>
        <w:rPr>
          <w:spacing w:val="-8"/>
        </w:rPr>
        <w:t xml:space="preserve"> </w:t>
      </w:r>
      <w:r>
        <w:t>estradiol</w:t>
      </w:r>
      <w:r>
        <w:rPr>
          <w:spacing w:val="-2"/>
        </w:rPr>
        <w:t xml:space="preserve"> </w:t>
      </w:r>
      <w:r>
        <w:t>Valerate</w:t>
      </w:r>
      <w:r>
        <w:rPr>
          <w:spacing w:val="-2"/>
        </w:rPr>
        <w:t xml:space="preserve"> </w:t>
      </w:r>
      <w:r>
        <w:t>(doses</w:t>
      </w:r>
      <w:r>
        <w:rPr>
          <w:spacing w:val="-5"/>
        </w:rPr>
        <w:t xml:space="preserve"> </w:t>
      </w:r>
      <w:r>
        <w:t>1</w:t>
      </w:r>
      <w:r>
        <w:rPr>
          <w:spacing w:val="-4"/>
        </w:rPr>
        <w:t xml:space="preserve"> </w:t>
      </w:r>
      <w:r>
        <w:t>and 2) (Fig.6).</w:t>
      </w:r>
    </w:p>
    <w:p w14:paraId="1973AFCC" w14:textId="77777777" w:rsidR="001B6ABB" w:rsidRDefault="00000000">
      <w:pPr>
        <w:pStyle w:val="Heading2"/>
        <w:spacing w:before="167"/>
        <w:ind w:left="679" w:right="932"/>
      </w:pPr>
      <w:r>
        <w:t>Effect</w:t>
      </w:r>
      <w:r>
        <w:rPr>
          <w:spacing w:val="-3"/>
        </w:rPr>
        <w:t xml:space="preserve"> </w:t>
      </w:r>
      <w:r>
        <w:t>of</w:t>
      </w:r>
      <w:r>
        <w:rPr>
          <w:spacing w:val="-3"/>
        </w:rPr>
        <w:t xml:space="preserve"> </w:t>
      </w:r>
      <w:r>
        <w:t>acetyl</w:t>
      </w:r>
      <w:r>
        <w:rPr>
          <w:spacing w:val="-6"/>
        </w:rPr>
        <w:t xml:space="preserve"> </w:t>
      </w:r>
      <w:r>
        <w:t>cholinesterase</w:t>
      </w:r>
      <w:r>
        <w:rPr>
          <w:spacing w:val="-6"/>
        </w:rPr>
        <w:t xml:space="preserve"> </w:t>
      </w:r>
      <w:r>
        <w:t>(</w:t>
      </w:r>
      <w:proofErr w:type="spellStart"/>
      <w:r>
        <w:t>AChE</w:t>
      </w:r>
      <w:proofErr w:type="spellEnd"/>
      <w:r>
        <w:t>)</w:t>
      </w:r>
      <w:r>
        <w:rPr>
          <w:spacing w:val="-3"/>
        </w:rPr>
        <w:t xml:space="preserve"> </w:t>
      </w:r>
      <w:r>
        <w:t>activity</w:t>
      </w:r>
      <w:r>
        <w:rPr>
          <w:spacing w:val="-7"/>
        </w:rPr>
        <w:t xml:space="preserve"> </w:t>
      </w:r>
      <w:r>
        <w:t>in the brain:</w:t>
      </w:r>
    </w:p>
    <w:p w14:paraId="062BF3B7" w14:textId="77777777" w:rsidR="001B6ABB" w:rsidRDefault="00000000">
      <w:pPr>
        <w:pStyle w:val="BodyText"/>
        <w:spacing w:before="155"/>
        <w:ind w:left="679" w:right="927"/>
      </w:pPr>
      <w:r>
        <w:t>In prior studies, acetyl cholinesterase activity was shown to</w:t>
      </w:r>
      <w:r>
        <w:rPr>
          <w:spacing w:val="-4"/>
        </w:rPr>
        <w:t xml:space="preserve"> </w:t>
      </w:r>
      <w:r>
        <w:t>increase</w:t>
      </w:r>
      <w:r>
        <w:rPr>
          <w:spacing w:val="-4"/>
        </w:rPr>
        <w:t xml:space="preserve"> </w:t>
      </w:r>
      <w:r>
        <w:t>in</w:t>
      </w:r>
      <w:r>
        <w:rPr>
          <w:spacing w:val="-6"/>
        </w:rPr>
        <w:t xml:space="preserve"> </w:t>
      </w:r>
      <w:r>
        <w:t>the</w:t>
      </w:r>
      <w:r>
        <w:rPr>
          <w:spacing w:val="-4"/>
        </w:rPr>
        <w:t xml:space="preserve"> </w:t>
      </w:r>
      <w:r>
        <w:t>brains</w:t>
      </w:r>
      <w:r>
        <w:rPr>
          <w:spacing w:val="-7"/>
        </w:rPr>
        <w:t xml:space="preserve"> </w:t>
      </w:r>
      <w:r>
        <w:t>of</w:t>
      </w:r>
      <w:r>
        <w:rPr>
          <w:spacing w:val="-6"/>
        </w:rPr>
        <w:t xml:space="preserve"> </w:t>
      </w:r>
      <w:r>
        <w:t>cognitive</w:t>
      </w:r>
      <w:r>
        <w:rPr>
          <w:spacing w:val="-4"/>
        </w:rPr>
        <w:t xml:space="preserve"> </w:t>
      </w:r>
      <w:r>
        <w:t xml:space="preserve">patients [170]. The treatment of ovariectomy caused a significant increase in brain </w:t>
      </w:r>
      <w:proofErr w:type="spellStart"/>
      <w:r>
        <w:t>AChE</w:t>
      </w:r>
      <w:proofErr w:type="spellEnd"/>
      <w:r>
        <w:t xml:space="preserve"> activity when compared to control rats. Treatment with </w:t>
      </w:r>
      <w:proofErr w:type="spellStart"/>
      <w:r>
        <w:t>Ipriflavone</w:t>
      </w:r>
      <w:proofErr w:type="spellEnd"/>
      <w:r>
        <w:t xml:space="preserve"> and estradiol Valerate greatly reduced the elevation in brain </w:t>
      </w:r>
      <w:proofErr w:type="spellStart"/>
      <w:r>
        <w:t>AChE</w:t>
      </w:r>
      <w:proofErr w:type="spellEnd"/>
      <w:r>
        <w:t xml:space="preserve"> activity</w:t>
      </w:r>
      <w:r>
        <w:rPr>
          <w:spacing w:val="-2"/>
        </w:rPr>
        <w:t xml:space="preserve"> </w:t>
      </w:r>
      <w:r>
        <w:t>brought on by Ovariectomized (Fig.7).</w:t>
      </w:r>
    </w:p>
    <w:p w14:paraId="5F315559" w14:textId="77777777" w:rsidR="001B6ABB" w:rsidRDefault="00000000">
      <w:pPr>
        <w:pStyle w:val="Heading2"/>
        <w:spacing w:before="167"/>
        <w:ind w:left="679"/>
      </w:pPr>
      <w:r>
        <w:t>Impact</w:t>
      </w:r>
      <w:r>
        <w:rPr>
          <w:spacing w:val="-4"/>
        </w:rPr>
        <w:t xml:space="preserve"> </w:t>
      </w:r>
      <w:r>
        <w:t>on</w:t>
      </w:r>
      <w:r>
        <w:rPr>
          <w:spacing w:val="-4"/>
        </w:rPr>
        <w:t xml:space="preserve"> </w:t>
      </w:r>
      <w:r>
        <w:t>the</w:t>
      </w:r>
      <w:r>
        <w:rPr>
          <w:spacing w:val="-2"/>
        </w:rPr>
        <w:t xml:space="preserve"> </w:t>
      </w:r>
      <w:r>
        <w:t>levels</w:t>
      </w:r>
      <w:r>
        <w:rPr>
          <w:spacing w:val="-4"/>
        </w:rPr>
        <w:t xml:space="preserve"> </w:t>
      </w:r>
      <w:r>
        <w:t>of</w:t>
      </w:r>
      <w:r>
        <w:rPr>
          <w:spacing w:val="-3"/>
        </w:rPr>
        <w:t xml:space="preserve"> </w:t>
      </w:r>
      <w:r>
        <w:t>TBARS</w:t>
      </w:r>
      <w:r>
        <w:rPr>
          <w:spacing w:val="-5"/>
        </w:rPr>
        <w:t xml:space="preserve"> </w:t>
      </w:r>
      <w:r>
        <w:t>and</w:t>
      </w:r>
      <w:r>
        <w:rPr>
          <w:spacing w:val="-8"/>
        </w:rPr>
        <w:t xml:space="preserve"> </w:t>
      </w:r>
      <w:r>
        <w:rPr>
          <w:spacing w:val="-4"/>
        </w:rPr>
        <w:t>GSH:</w:t>
      </w:r>
    </w:p>
    <w:p w14:paraId="02A41512" w14:textId="77777777" w:rsidR="001B6ABB" w:rsidRDefault="00000000">
      <w:pPr>
        <w:pStyle w:val="BodyText"/>
        <w:spacing w:before="154"/>
        <w:ind w:left="679" w:right="932"/>
      </w:pPr>
      <w:r>
        <w:t>Ovariectomy led to considerably decreased levels</w:t>
      </w:r>
      <w:r>
        <w:rPr>
          <w:spacing w:val="40"/>
        </w:rPr>
        <w:t xml:space="preserve"> </w:t>
      </w:r>
      <w:r>
        <w:t xml:space="preserve">of brain reduced glutathione (GSH) and significantly higher levels of </w:t>
      </w:r>
      <w:proofErr w:type="spellStart"/>
      <w:r>
        <w:t>Thiobarbituric</w:t>
      </w:r>
      <w:proofErr w:type="spellEnd"/>
      <w:r>
        <w:t xml:space="preserve"> acid reactive species (TBARS) in comparison to control rats, indicating the onset of oxidative stress. Treatment with </w:t>
      </w:r>
      <w:proofErr w:type="spellStart"/>
      <w:r>
        <w:t>Ipriflavone</w:t>
      </w:r>
      <w:proofErr w:type="spellEnd"/>
      <w:r>
        <w:t xml:space="preserve"> and estradiol Valerate significantly decreased the oxidative harm caused by reduction of estrogen level. (Fig.8 &amp;.9)</w:t>
      </w:r>
    </w:p>
    <w:p w14:paraId="6BC90FEE" w14:textId="77777777" w:rsidR="001B6ABB" w:rsidRDefault="00000000">
      <w:pPr>
        <w:pStyle w:val="Heading2"/>
        <w:spacing w:before="167"/>
        <w:ind w:left="679"/>
      </w:pPr>
      <w:r>
        <w:t>Impact</w:t>
      </w:r>
      <w:r>
        <w:rPr>
          <w:spacing w:val="-6"/>
        </w:rPr>
        <w:t xml:space="preserve"> </w:t>
      </w:r>
      <w:r>
        <w:t>on</w:t>
      </w:r>
      <w:r>
        <w:rPr>
          <w:spacing w:val="-4"/>
        </w:rPr>
        <w:t xml:space="preserve"> </w:t>
      </w:r>
      <w:r>
        <w:t>the</w:t>
      </w:r>
      <w:r>
        <w:rPr>
          <w:spacing w:val="-2"/>
        </w:rPr>
        <w:t xml:space="preserve"> </w:t>
      </w:r>
      <w:r>
        <w:t>level</w:t>
      </w:r>
      <w:r>
        <w:rPr>
          <w:spacing w:val="-6"/>
        </w:rPr>
        <w:t xml:space="preserve"> </w:t>
      </w:r>
      <w:r>
        <w:t>of</w:t>
      </w:r>
      <w:r>
        <w:rPr>
          <w:spacing w:val="-3"/>
        </w:rPr>
        <w:t xml:space="preserve"> </w:t>
      </w:r>
      <w:r>
        <w:rPr>
          <w:spacing w:val="-4"/>
        </w:rPr>
        <w:t>SOD:</w:t>
      </w:r>
    </w:p>
    <w:p w14:paraId="1B7506BD" w14:textId="77777777" w:rsidR="001B6ABB" w:rsidRDefault="00000000">
      <w:pPr>
        <w:pStyle w:val="BodyText"/>
        <w:spacing w:before="154"/>
        <w:ind w:left="679" w:right="928"/>
      </w:pPr>
      <w:r>
        <w:t>OVX</w:t>
      </w:r>
      <w:r>
        <w:rPr>
          <w:spacing w:val="80"/>
          <w:w w:val="150"/>
        </w:rPr>
        <w:t xml:space="preserve"> </w:t>
      </w:r>
      <w:r>
        <w:t>develops</w:t>
      </w:r>
      <w:r>
        <w:rPr>
          <w:spacing w:val="80"/>
          <w:w w:val="150"/>
        </w:rPr>
        <w:t xml:space="preserve"> </w:t>
      </w:r>
      <w:proofErr w:type="gramStart"/>
      <w:r>
        <w:t>a</w:t>
      </w:r>
      <w:r>
        <w:rPr>
          <w:spacing w:val="40"/>
        </w:rPr>
        <w:t xml:space="preserve">  </w:t>
      </w:r>
      <w:r>
        <w:t>significant</w:t>
      </w:r>
      <w:proofErr w:type="gramEnd"/>
      <w:r>
        <w:rPr>
          <w:spacing w:val="80"/>
          <w:w w:val="150"/>
        </w:rPr>
        <w:t xml:space="preserve"> </w:t>
      </w:r>
      <w:r>
        <w:t>increase</w:t>
      </w:r>
      <w:r>
        <w:rPr>
          <w:spacing w:val="80"/>
          <w:w w:val="150"/>
        </w:rPr>
        <w:t xml:space="preserve"> </w:t>
      </w:r>
      <w:r>
        <w:t>in</w:t>
      </w:r>
      <w:r>
        <w:rPr>
          <w:spacing w:val="80"/>
        </w:rPr>
        <w:t xml:space="preserve"> </w:t>
      </w:r>
      <w:r>
        <w:t>SOD</w:t>
      </w:r>
      <w:r>
        <w:rPr>
          <w:spacing w:val="-1"/>
        </w:rPr>
        <w:t xml:space="preserve"> </w:t>
      </w:r>
      <w:r>
        <w:t>compared to controls (Fig.10) SOD</w:t>
      </w:r>
      <w:r>
        <w:rPr>
          <w:spacing w:val="-1"/>
        </w:rPr>
        <w:t xml:space="preserve"> </w:t>
      </w:r>
      <w:r>
        <w:t xml:space="preserve">was not significantly impacted by any of them taken together. Estradiol Valerate and </w:t>
      </w:r>
      <w:proofErr w:type="spellStart"/>
      <w:r>
        <w:t>ipriflavone</w:t>
      </w:r>
      <w:proofErr w:type="spellEnd"/>
      <w:r>
        <w:t xml:space="preserve"> treatment</w:t>
      </w:r>
      <w:r>
        <w:rPr>
          <w:spacing w:val="80"/>
          <w:w w:val="150"/>
        </w:rPr>
        <w:t xml:space="preserve"> </w:t>
      </w:r>
      <w:r>
        <w:t>(Fig.10</w:t>
      </w:r>
      <w:r>
        <w:rPr>
          <w:spacing w:val="80"/>
          <w:w w:val="150"/>
        </w:rPr>
        <w:t xml:space="preserve"> </w:t>
      </w:r>
      <w:r>
        <w:t>effectively</w:t>
      </w:r>
      <w:r>
        <w:rPr>
          <w:spacing w:val="80"/>
          <w:w w:val="150"/>
        </w:rPr>
        <w:t xml:space="preserve"> </w:t>
      </w:r>
      <w:r>
        <w:t>reduced</w:t>
      </w:r>
      <w:r>
        <w:rPr>
          <w:spacing w:val="80"/>
          <w:w w:val="150"/>
        </w:rPr>
        <w:t xml:space="preserve"> </w:t>
      </w:r>
      <w:r>
        <w:t>the</w:t>
      </w:r>
      <w:r>
        <w:rPr>
          <w:spacing w:val="80"/>
        </w:rPr>
        <w:t xml:space="preserve"> </w:t>
      </w:r>
      <w:r>
        <w:t>SOD increase caused by OVX.</w:t>
      </w:r>
    </w:p>
    <w:p w14:paraId="73905301" w14:textId="77777777" w:rsidR="001B6ABB" w:rsidRDefault="00000000">
      <w:pPr>
        <w:pStyle w:val="Heading2"/>
        <w:spacing w:before="166"/>
        <w:ind w:left="679"/>
      </w:pPr>
      <w:r>
        <w:t>Impact</w:t>
      </w:r>
      <w:r>
        <w:rPr>
          <w:spacing w:val="-4"/>
        </w:rPr>
        <w:t xml:space="preserve"> </w:t>
      </w:r>
      <w:r>
        <w:t>on</w:t>
      </w:r>
      <w:r>
        <w:rPr>
          <w:spacing w:val="-4"/>
        </w:rPr>
        <w:t xml:space="preserve"> </w:t>
      </w:r>
      <w:r>
        <w:t>the</w:t>
      </w:r>
      <w:r>
        <w:rPr>
          <w:spacing w:val="-1"/>
        </w:rPr>
        <w:t xml:space="preserve"> </w:t>
      </w:r>
      <w:r>
        <w:t>level</w:t>
      </w:r>
      <w:r>
        <w:rPr>
          <w:spacing w:val="-6"/>
        </w:rPr>
        <w:t xml:space="preserve"> </w:t>
      </w:r>
      <w:r>
        <w:t>of</w:t>
      </w:r>
      <w:r>
        <w:rPr>
          <w:spacing w:val="-4"/>
        </w:rPr>
        <w:t xml:space="preserve"> </w:t>
      </w:r>
      <w:r>
        <w:t>Serum</w:t>
      </w:r>
      <w:r>
        <w:rPr>
          <w:spacing w:val="-7"/>
        </w:rPr>
        <w:t xml:space="preserve"> </w:t>
      </w:r>
      <w:r>
        <w:rPr>
          <w:spacing w:val="-2"/>
        </w:rPr>
        <w:t>Estradiol:</w:t>
      </w:r>
    </w:p>
    <w:p w14:paraId="02CD3F1C" w14:textId="77777777" w:rsidR="001B6ABB" w:rsidRDefault="00000000">
      <w:pPr>
        <w:pStyle w:val="BodyText"/>
        <w:spacing w:before="156" w:line="237" w:lineRule="auto"/>
        <w:ind w:left="679" w:right="929"/>
      </w:pPr>
      <w:proofErr w:type="gramStart"/>
      <w:r>
        <w:t>Low</w:t>
      </w:r>
      <w:proofErr w:type="gramEnd"/>
      <w:r>
        <w:t xml:space="preserve"> level of estrogen develops a significant increase in SOD</w:t>
      </w:r>
      <w:r>
        <w:rPr>
          <w:spacing w:val="-6"/>
        </w:rPr>
        <w:t xml:space="preserve"> </w:t>
      </w:r>
      <w:r>
        <w:t>compared to controls (Fig.11)</w:t>
      </w:r>
      <w:r>
        <w:rPr>
          <w:spacing w:val="40"/>
        </w:rPr>
        <w:t xml:space="preserve"> </w:t>
      </w:r>
      <w:r>
        <w:t>SOD</w:t>
      </w:r>
      <w:r>
        <w:rPr>
          <w:spacing w:val="-1"/>
        </w:rPr>
        <w:t xml:space="preserve"> </w:t>
      </w:r>
      <w:r>
        <w:t>was</w:t>
      </w:r>
      <w:r>
        <w:rPr>
          <w:spacing w:val="-1"/>
        </w:rPr>
        <w:t xml:space="preserve"> </w:t>
      </w:r>
      <w:r>
        <w:t>not significantly</w:t>
      </w:r>
      <w:r>
        <w:rPr>
          <w:spacing w:val="-9"/>
        </w:rPr>
        <w:t xml:space="preserve"> </w:t>
      </w:r>
      <w:r>
        <w:t>impacted</w:t>
      </w:r>
      <w:r>
        <w:rPr>
          <w:spacing w:val="-5"/>
        </w:rPr>
        <w:t xml:space="preserve"> </w:t>
      </w:r>
      <w:r>
        <w:t>by</w:t>
      </w:r>
      <w:r>
        <w:rPr>
          <w:spacing w:val="-9"/>
        </w:rPr>
        <w:t xml:space="preserve"> </w:t>
      </w:r>
      <w:r>
        <w:t>any</w:t>
      </w:r>
      <w:r>
        <w:rPr>
          <w:spacing w:val="-9"/>
        </w:rPr>
        <w:t xml:space="preserve"> </w:t>
      </w:r>
      <w:r>
        <w:t>of</w:t>
      </w:r>
      <w:r>
        <w:rPr>
          <w:spacing w:val="-5"/>
        </w:rPr>
        <w:t xml:space="preserve"> </w:t>
      </w:r>
      <w:r>
        <w:t>them taken</w:t>
      </w:r>
      <w:r>
        <w:rPr>
          <w:spacing w:val="36"/>
        </w:rPr>
        <w:t xml:space="preserve"> </w:t>
      </w:r>
      <w:r>
        <w:t>together.</w:t>
      </w:r>
      <w:r>
        <w:rPr>
          <w:spacing w:val="31"/>
        </w:rPr>
        <w:t xml:space="preserve"> </w:t>
      </w:r>
      <w:r>
        <w:t>Estradiol</w:t>
      </w:r>
      <w:r>
        <w:rPr>
          <w:spacing w:val="34"/>
        </w:rPr>
        <w:t xml:space="preserve"> </w:t>
      </w:r>
      <w:r>
        <w:t>Valerate</w:t>
      </w:r>
      <w:r>
        <w:rPr>
          <w:spacing w:val="30"/>
        </w:rPr>
        <w:t xml:space="preserve"> </w:t>
      </w:r>
      <w:r>
        <w:t>and</w:t>
      </w:r>
      <w:r>
        <w:rPr>
          <w:spacing w:val="29"/>
        </w:rPr>
        <w:t xml:space="preserve"> </w:t>
      </w:r>
      <w:proofErr w:type="spellStart"/>
      <w:r>
        <w:rPr>
          <w:spacing w:val="-2"/>
        </w:rPr>
        <w:t>ipriflavone</w:t>
      </w:r>
      <w:proofErr w:type="spellEnd"/>
    </w:p>
    <w:p w14:paraId="16FABE76" w14:textId="77777777" w:rsidR="001B6ABB" w:rsidRDefault="001B6ABB">
      <w:pPr>
        <w:spacing w:line="237" w:lineRule="auto"/>
        <w:sectPr w:rsidR="001B6ABB">
          <w:headerReference w:type="default" r:id="rId14"/>
          <w:footerReference w:type="default" r:id="rId15"/>
          <w:pgSz w:w="11910" w:h="16840"/>
          <w:pgMar w:top="1340" w:right="500" w:bottom="1100" w:left="540" w:header="578" w:footer="902" w:gutter="0"/>
          <w:pgNumType w:start="6"/>
          <w:cols w:num="2" w:space="720" w:equalWidth="0">
            <w:col w:w="5060" w:space="40"/>
            <w:col w:w="5770"/>
          </w:cols>
        </w:sectPr>
      </w:pPr>
    </w:p>
    <w:p w14:paraId="2C696B92" w14:textId="77777777" w:rsidR="001B6ABB" w:rsidRDefault="00000000">
      <w:pPr>
        <w:pStyle w:val="BodyText"/>
        <w:spacing w:before="83"/>
        <w:ind w:left="900" w:right="333"/>
      </w:pPr>
      <w:r>
        <w:lastRenderedPageBreak/>
        <w:t>treatment</w:t>
      </w:r>
      <w:r>
        <w:rPr>
          <w:spacing w:val="80"/>
          <w:w w:val="150"/>
        </w:rPr>
        <w:t xml:space="preserve"> </w:t>
      </w:r>
      <w:r>
        <w:t>(Fig.11)</w:t>
      </w:r>
      <w:r>
        <w:rPr>
          <w:spacing w:val="80"/>
          <w:w w:val="150"/>
        </w:rPr>
        <w:t xml:space="preserve"> </w:t>
      </w:r>
      <w:r>
        <w:t>effectively</w:t>
      </w:r>
      <w:r>
        <w:rPr>
          <w:spacing w:val="80"/>
        </w:rPr>
        <w:t xml:space="preserve"> </w:t>
      </w:r>
      <w:r>
        <w:t>reduced</w:t>
      </w:r>
      <w:r>
        <w:rPr>
          <w:spacing w:val="80"/>
          <w:w w:val="150"/>
        </w:rPr>
        <w:t xml:space="preserve"> </w:t>
      </w:r>
      <w:r>
        <w:t>the</w:t>
      </w:r>
      <w:r>
        <w:rPr>
          <w:spacing w:val="40"/>
        </w:rPr>
        <w:t xml:space="preserve"> </w:t>
      </w:r>
      <w:r>
        <w:t>SOD increase caused by Estrogen.</w:t>
      </w:r>
    </w:p>
    <w:p w14:paraId="63507B15" w14:textId="77777777" w:rsidR="001B6ABB" w:rsidRDefault="00000000">
      <w:pPr>
        <w:pStyle w:val="BodyText"/>
        <w:spacing w:before="3"/>
        <w:ind w:left="0"/>
        <w:jc w:val="left"/>
        <w:rPr>
          <w:sz w:val="19"/>
        </w:rPr>
      </w:pPr>
      <w:r>
        <w:rPr>
          <w:noProof/>
        </w:rPr>
        <w:drawing>
          <wp:anchor distT="0" distB="0" distL="0" distR="0" simplePos="0" relativeHeight="487588864" behindDoc="1" locked="0" layoutInCell="1" allowOverlap="1" wp14:anchorId="1D30B4A7" wp14:editId="708F2449">
            <wp:simplePos x="0" y="0"/>
            <wp:positionH relativeFrom="page">
              <wp:posOffset>966238</wp:posOffset>
            </wp:positionH>
            <wp:positionV relativeFrom="paragraph">
              <wp:posOffset>156368</wp:posOffset>
            </wp:positionV>
            <wp:extent cx="2670012" cy="2304669"/>
            <wp:effectExtent l="0" t="0" r="0" b="0"/>
            <wp:wrapTopAndBottom/>
            <wp:docPr id="13" name="Image 13" descr="New 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New Picture (4)"/>
                    <pic:cNvPicPr/>
                  </pic:nvPicPr>
                  <pic:blipFill>
                    <a:blip r:embed="rId16" cstate="print"/>
                    <a:stretch>
                      <a:fillRect/>
                    </a:stretch>
                  </pic:blipFill>
                  <pic:spPr>
                    <a:xfrm>
                      <a:off x="0" y="0"/>
                      <a:ext cx="2670012" cy="2304669"/>
                    </a:xfrm>
                    <a:prstGeom prst="rect">
                      <a:avLst/>
                    </a:prstGeom>
                  </pic:spPr>
                </pic:pic>
              </a:graphicData>
            </a:graphic>
          </wp:anchor>
        </w:drawing>
      </w:r>
    </w:p>
    <w:p w14:paraId="218EB391" w14:textId="77777777" w:rsidR="001B6ABB" w:rsidRDefault="001B6ABB">
      <w:pPr>
        <w:pStyle w:val="BodyText"/>
        <w:spacing w:before="91"/>
        <w:ind w:left="0"/>
        <w:jc w:val="left"/>
      </w:pPr>
    </w:p>
    <w:p w14:paraId="7A8B7A78" w14:textId="77777777" w:rsidR="001B6ABB" w:rsidRDefault="00000000">
      <w:pPr>
        <w:pStyle w:val="Heading2"/>
        <w:spacing w:before="1"/>
        <w:ind w:left="1010" w:right="449" w:hanging="4"/>
        <w:jc w:val="center"/>
      </w:pPr>
      <w:r>
        <w:t>Fig.1: Impact of various agents utilizing Elevated</w:t>
      </w:r>
      <w:r>
        <w:rPr>
          <w:spacing w:val="-10"/>
        </w:rPr>
        <w:t xml:space="preserve"> </w:t>
      </w:r>
      <w:r>
        <w:t>plus</w:t>
      </w:r>
      <w:r>
        <w:rPr>
          <w:spacing w:val="-6"/>
        </w:rPr>
        <w:t xml:space="preserve"> </w:t>
      </w:r>
      <w:r>
        <w:t>maze</w:t>
      </w:r>
      <w:r>
        <w:rPr>
          <w:spacing w:val="-3"/>
        </w:rPr>
        <w:t xml:space="preserve"> </w:t>
      </w:r>
      <w:r>
        <w:t>on</w:t>
      </w:r>
      <w:r>
        <w:rPr>
          <w:spacing w:val="-6"/>
        </w:rPr>
        <w:t xml:space="preserve"> </w:t>
      </w:r>
      <w:r>
        <w:t>transfer</w:t>
      </w:r>
      <w:r>
        <w:rPr>
          <w:spacing w:val="-8"/>
        </w:rPr>
        <w:t xml:space="preserve"> </w:t>
      </w:r>
      <w:r>
        <w:t>latency</w:t>
      </w:r>
      <w:r>
        <w:rPr>
          <w:spacing w:val="-5"/>
        </w:rPr>
        <w:t xml:space="preserve"> </w:t>
      </w:r>
      <w:r>
        <w:t>(EPM)</w:t>
      </w:r>
    </w:p>
    <w:p w14:paraId="53E641A8" w14:textId="77777777" w:rsidR="001B6ABB" w:rsidRDefault="00000000">
      <w:pPr>
        <w:pStyle w:val="BodyText"/>
        <w:spacing w:before="154"/>
        <w:ind w:left="900" w:right="334"/>
      </w:pPr>
      <w:r>
        <w:t>n=7, Results are presented as mean± standard deviation with Tukey's multiple range test coming after one-way</w:t>
      </w:r>
      <w:r>
        <w:rPr>
          <w:spacing w:val="-12"/>
        </w:rPr>
        <w:t xml:space="preserve"> </w:t>
      </w:r>
      <w:r>
        <w:t>ANOVA,</w:t>
      </w:r>
      <w:r>
        <w:rPr>
          <w:spacing w:val="-1"/>
        </w:rPr>
        <w:t xml:space="preserve"> </w:t>
      </w:r>
      <w:r>
        <w:t>F</w:t>
      </w:r>
      <w:r>
        <w:rPr>
          <w:spacing w:val="-4"/>
        </w:rPr>
        <w:t xml:space="preserve"> </w:t>
      </w:r>
      <w:r>
        <w:t>(7,</w:t>
      </w:r>
      <w:r>
        <w:rPr>
          <w:spacing w:val="-5"/>
        </w:rPr>
        <w:t xml:space="preserve"> </w:t>
      </w:r>
      <w:r>
        <w:t>42)</w:t>
      </w:r>
      <w:r>
        <w:rPr>
          <w:spacing w:val="-8"/>
        </w:rPr>
        <w:t xml:space="preserve"> </w:t>
      </w:r>
      <w:r>
        <w:t>=</w:t>
      </w:r>
      <w:r>
        <w:rPr>
          <w:spacing w:val="-2"/>
        </w:rPr>
        <w:t xml:space="preserve"> </w:t>
      </w:r>
      <w:r>
        <w:t xml:space="preserve">243.50 </w:t>
      </w:r>
      <w:r>
        <w:rPr>
          <w:vertAlign w:val="superscript"/>
        </w:rPr>
        <w:t>a</w:t>
      </w:r>
      <w:r>
        <w:rPr>
          <w:spacing w:val="-7"/>
        </w:rPr>
        <w:t xml:space="preserve"> </w:t>
      </w:r>
      <w:r>
        <w:t xml:space="preserve">p&lt;0.05 Retention Transfer Latency by control animals; </w:t>
      </w:r>
      <w:r>
        <w:rPr>
          <w:vertAlign w:val="superscript"/>
        </w:rPr>
        <w:t>b</w:t>
      </w:r>
      <w:r>
        <w:t>. p&lt;0.05 vs Retention Transfer Latency in ovariectomy animal. OVX= Ovariectomized; IP</w:t>
      </w:r>
      <w:r>
        <w:rPr>
          <w:spacing w:val="80"/>
        </w:rPr>
        <w:t xml:space="preserve"> </w:t>
      </w:r>
      <w:r>
        <w:t>per se =</w:t>
      </w:r>
      <w:proofErr w:type="spellStart"/>
      <w:r>
        <w:t>Ipriflavone</w:t>
      </w:r>
      <w:proofErr w:type="spellEnd"/>
      <w:r>
        <w:t xml:space="preserve"> per se; EV per se= Estradiol Valerate; IP Treated = </w:t>
      </w:r>
      <w:proofErr w:type="spellStart"/>
      <w:r>
        <w:t>Ipriflavone</w:t>
      </w:r>
      <w:proofErr w:type="spellEnd"/>
      <w:r>
        <w:t xml:space="preserve"> Treated; EV Treated= Estradiol Valerate Treated; IP+EV Treated=</w:t>
      </w:r>
      <w:proofErr w:type="spellStart"/>
      <w:r>
        <w:t>Ipriflavone</w:t>
      </w:r>
      <w:proofErr w:type="spellEnd"/>
      <w:r>
        <w:t xml:space="preserve"> +Estradiol Valerate Treated.</w:t>
      </w:r>
    </w:p>
    <w:p w14:paraId="4371B1CF" w14:textId="77777777" w:rsidR="001B6ABB" w:rsidRDefault="00000000">
      <w:pPr>
        <w:pStyle w:val="BodyText"/>
        <w:ind w:left="0"/>
        <w:jc w:val="left"/>
        <w:rPr>
          <w:sz w:val="18"/>
        </w:rPr>
      </w:pPr>
      <w:r>
        <w:rPr>
          <w:noProof/>
        </w:rPr>
        <w:drawing>
          <wp:anchor distT="0" distB="0" distL="0" distR="0" simplePos="0" relativeHeight="487589376" behindDoc="1" locked="0" layoutInCell="1" allowOverlap="1" wp14:anchorId="3E6FF882" wp14:editId="689D73F5">
            <wp:simplePos x="0" y="0"/>
            <wp:positionH relativeFrom="page">
              <wp:posOffset>942596</wp:posOffset>
            </wp:positionH>
            <wp:positionV relativeFrom="paragraph">
              <wp:posOffset>147300</wp:posOffset>
            </wp:positionV>
            <wp:extent cx="2797567" cy="242239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797567" cy="2422398"/>
                    </a:xfrm>
                    <a:prstGeom prst="rect">
                      <a:avLst/>
                    </a:prstGeom>
                  </pic:spPr>
                </pic:pic>
              </a:graphicData>
            </a:graphic>
          </wp:anchor>
        </w:drawing>
      </w:r>
    </w:p>
    <w:p w14:paraId="7BBF1BA0" w14:textId="77777777" w:rsidR="001B6ABB" w:rsidRDefault="001B6ABB">
      <w:pPr>
        <w:pStyle w:val="BodyText"/>
        <w:spacing w:before="35"/>
        <w:ind w:left="0"/>
        <w:jc w:val="left"/>
      </w:pPr>
    </w:p>
    <w:p w14:paraId="6D93C9A0" w14:textId="77777777" w:rsidR="001B6ABB" w:rsidRDefault="00000000">
      <w:pPr>
        <w:pStyle w:val="Heading2"/>
        <w:ind w:left="907" w:right="347"/>
        <w:jc w:val="center"/>
      </w:pPr>
      <w:r>
        <w:t>Fig.2:</w:t>
      </w:r>
      <w:r>
        <w:rPr>
          <w:spacing w:val="-11"/>
        </w:rPr>
        <w:t xml:space="preserve"> </w:t>
      </w:r>
      <w:r>
        <w:t>Impacts</w:t>
      </w:r>
      <w:r>
        <w:rPr>
          <w:spacing w:val="-8"/>
        </w:rPr>
        <w:t xml:space="preserve"> </w:t>
      </w:r>
      <w:r>
        <w:t>of</w:t>
      </w:r>
      <w:r>
        <w:rPr>
          <w:spacing w:val="-7"/>
        </w:rPr>
        <w:t xml:space="preserve"> </w:t>
      </w:r>
      <w:r>
        <w:t>various</w:t>
      </w:r>
      <w:r>
        <w:rPr>
          <w:spacing w:val="-8"/>
        </w:rPr>
        <w:t xml:space="preserve"> </w:t>
      </w:r>
      <w:r>
        <w:t>substances</w:t>
      </w:r>
      <w:r>
        <w:rPr>
          <w:spacing w:val="-8"/>
        </w:rPr>
        <w:t xml:space="preserve"> </w:t>
      </w:r>
      <w:r>
        <w:t>on locomotor activity</w:t>
      </w:r>
    </w:p>
    <w:p w14:paraId="59AAECBE" w14:textId="77777777" w:rsidR="001B6ABB" w:rsidRDefault="00000000">
      <w:pPr>
        <w:pStyle w:val="BodyText"/>
        <w:spacing w:before="154"/>
        <w:ind w:left="900" w:right="334"/>
      </w:pPr>
      <w:r>
        <w:t>n=7, Results are presented as mean± standard deviation with Tukey's multiple range test coming after one-way</w:t>
      </w:r>
      <w:r>
        <w:rPr>
          <w:spacing w:val="-1"/>
        </w:rPr>
        <w:t xml:space="preserve"> </w:t>
      </w:r>
      <w:r>
        <w:t xml:space="preserve">ANOVA, F (7, 42) = 376.9 </w:t>
      </w:r>
      <w:r>
        <w:rPr>
          <w:vertAlign w:val="superscript"/>
        </w:rPr>
        <w:t>a</w:t>
      </w:r>
      <w:r>
        <w:t xml:space="preserve"> p&lt;0.05 vs control group; </w:t>
      </w:r>
      <w:r>
        <w:rPr>
          <w:vertAlign w:val="superscript"/>
        </w:rPr>
        <w:t>b</w:t>
      </w:r>
      <w:r>
        <w:t xml:space="preserve"> p&lt;0.05 vs </w:t>
      </w:r>
      <w:proofErr w:type="spellStart"/>
      <w:r>
        <w:t>overectomized</w:t>
      </w:r>
      <w:proofErr w:type="spellEnd"/>
      <w:r>
        <w:t xml:space="preserve"> </w:t>
      </w:r>
      <w:proofErr w:type="spellStart"/>
      <w:r>
        <w:t>group.OVX</w:t>
      </w:r>
      <w:proofErr w:type="spellEnd"/>
      <w:proofErr w:type="gramStart"/>
      <w:r>
        <w:t>=</w:t>
      </w:r>
      <w:r>
        <w:rPr>
          <w:spacing w:val="74"/>
          <w:w w:val="150"/>
        </w:rPr>
        <w:t xml:space="preserve">  </w:t>
      </w:r>
      <w:proofErr w:type="spellStart"/>
      <w:r>
        <w:t>Overectomized</w:t>
      </w:r>
      <w:proofErr w:type="spellEnd"/>
      <w:proofErr w:type="gramEnd"/>
      <w:r>
        <w:t>;</w:t>
      </w:r>
      <w:r>
        <w:rPr>
          <w:spacing w:val="72"/>
          <w:w w:val="150"/>
        </w:rPr>
        <w:t xml:space="preserve">  </w:t>
      </w:r>
      <w:r>
        <w:t>IP</w:t>
      </w:r>
      <w:r>
        <w:rPr>
          <w:spacing w:val="70"/>
          <w:w w:val="150"/>
        </w:rPr>
        <w:t xml:space="preserve">  </w:t>
      </w:r>
      <w:r>
        <w:t>per</w:t>
      </w:r>
      <w:r>
        <w:rPr>
          <w:spacing w:val="76"/>
          <w:w w:val="150"/>
        </w:rPr>
        <w:t xml:space="preserve">  </w:t>
      </w:r>
      <w:r>
        <w:rPr>
          <w:spacing w:val="-5"/>
        </w:rPr>
        <w:t>se</w:t>
      </w:r>
    </w:p>
    <w:p w14:paraId="0D492B57" w14:textId="77777777" w:rsidR="001B6ABB" w:rsidRDefault="00000000">
      <w:pPr>
        <w:pStyle w:val="BodyText"/>
        <w:spacing w:line="228" w:lineRule="exact"/>
        <w:ind w:left="900"/>
      </w:pPr>
      <w:r>
        <w:t>=</w:t>
      </w:r>
      <w:proofErr w:type="spellStart"/>
      <w:r>
        <w:t>Ipriflavone</w:t>
      </w:r>
      <w:proofErr w:type="spellEnd"/>
      <w:r>
        <w:rPr>
          <w:spacing w:val="3"/>
        </w:rPr>
        <w:t xml:space="preserve"> </w:t>
      </w:r>
      <w:r>
        <w:t>per</w:t>
      </w:r>
      <w:r>
        <w:rPr>
          <w:spacing w:val="10"/>
        </w:rPr>
        <w:t xml:space="preserve"> </w:t>
      </w:r>
      <w:r>
        <w:t>se;</w:t>
      </w:r>
      <w:r>
        <w:rPr>
          <w:spacing w:val="2"/>
        </w:rPr>
        <w:t xml:space="preserve"> </w:t>
      </w:r>
      <w:r>
        <w:t>EV per</w:t>
      </w:r>
      <w:r>
        <w:rPr>
          <w:spacing w:val="6"/>
        </w:rPr>
        <w:t xml:space="preserve"> </w:t>
      </w:r>
      <w:r>
        <w:t>se=</w:t>
      </w:r>
      <w:r>
        <w:rPr>
          <w:spacing w:val="2"/>
        </w:rPr>
        <w:t xml:space="preserve"> </w:t>
      </w:r>
      <w:r>
        <w:t>Estradiol</w:t>
      </w:r>
      <w:r>
        <w:rPr>
          <w:spacing w:val="8"/>
        </w:rPr>
        <w:t xml:space="preserve"> </w:t>
      </w:r>
      <w:proofErr w:type="gramStart"/>
      <w:r>
        <w:rPr>
          <w:spacing w:val="-2"/>
        </w:rPr>
        <w:t>Valerate;</w:t>
      </w:r>
      <w:proofErr w:type="gramEnd"/>
    </w:p>
    <w:p w14:paraId="4B1054D0" w14:textId="77777777" w:rsidR="001B6ABB" w:rsidRDefault="00000000">
      <w:pPr>
        <w:pStyle w:val="BodyText"/>
        <w:spacing w:before="83"/>
        <w:ind w:left="344" w:right="931"/>
      </w:pPr>
      <w:r>
        <w:br w:type="column"/>
      </w:r>
      <w:r>
        <w:t xml:space="preserve">IP Treated = </w:t>
      </w:r>
      <w:proofErr w:type="spellStart"/>
      <w:r>
        <w:t>Ipriflavone</w:t>
      </w:r>
      <w:proofErr w:type="spellEnd"/>
      <w:r>
        <w:t xml:space="preserve"> Treated; EV Treated= Estradiol Valerate Treated; IP+EV Treated=</w:t>
      </w:r>
      <w:proofErr w:type="spellStart"/>
      <w:r>
        <w:t>Ipriflavone</w:t>
      </w:r>
      <w:proofErr w:type="spellEnd"/>
      <w:r>
        <w:t xml:space="preserve"> +Estradiol Valerate Treated.</w:t>
      </w:r>
    </w:p>
    <w:p w14:paraId="4C928FD8" w14:textId="77777777" w:rsidR="001B6ABB" w:rsidRDefault="00000000">
      <w:pPr>
        <w:pStyle w:val="BodyText"/>
        <w:spacing w:before="7"/>
        <w:ind w:left="0"/>
        <w:jc w:val="left"/>
      </w:pPr>
      <w:r>
        <w:rPr>
          <w:noProof/>
        </w:rPr>
        <w:drawing>
          <wp:anchor distT="0" distB="0" distL="0" distR="0" simplePos="0" relativeHeight="487589888" behindDoc="1" locked="0" layoutInCell="1" allowOverlap="1" wp14:anchorId="7B766AF2" wp14:editId="08F1CA2B">
            <wp:simplePos x="0" y="0"/>
            <wp:positionH relativeFrom="page">
              <wp:posOffset>4061113</wp:posOffset>
            </wp:positionH>
            <wp:positionV relativeFrom="paragraph">
              <wp:posOffset>165967</wp:posOffset>
            </wp:positionV>
            <wp:extent cx="3085158" cy="241649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3085158" cy="2416492"/>
                    </a:xfrm>
                    <a:prstGeom prst="rect">
                      <a:avLst/>
                    </a:prstGeom>
                  </pic:spPr>
                </pic:pic>
              </a:graphicData>
            </a:graphic>
          </wp:anchor>
        </w:drawing>
      </w:r>
    </w:p>
    <w:p w14:paraId="2DA53AF8" w14:textId="77777777" w:rsidR="001B6ABB" w:rsidRDefault="001B6ABB">
      <w:pPr>
        <w:pStyle w:val="BodyText"/>
        <w:spacing w:before="11"/>
        <w:ind w:left="0"/>
        <w:jc w:val="left"/>
      </w:pPr>
    </w:p>
    <w:p w14:paraId="36D40C58" w14:textId="77777777" w:rsidR="001B6ABB" w:rsidRDefault="00000000">
      <w:pPr>
        <w:pStyle w:val="Heading2"/>
        <w:ind w:left="321" w:right="912"/>
        <w:jc w:val="center"/>
      </w:pPr>
      <w:r>
        <w:t>Fig.3:</w:t>
      </w:r>
      <w:r>
        <w:rPr>
          <w:spacing w:val="-9"/>
        </w:rPr>
        <w:t xml:space="preserve"> </w:t>
      </w:r>
      <w:r>
        <w:t>The</w:t>
      </w:r>
      <w:r>
        <w:rPr>
          <w:spacing w:val="-8"/>
        </w:rPr>
        <w:t xml:space="preserve"> </w:t>
      </w:r>
      <w:r>
        <w:t>impact</w:t>
      </w:r>
      <w:r>
        <w:rPr>
          <w:spacing w:val="-9"/>
        </w:rPr>
        <w:t xml:space="preserve"> </w:t>
      </w:r>
      <w:r>
        <w:t>of</w:t>
      </w:r>
      <w:r>
        <w:rPr>
          <w:spacing w:val="-5"/>
        </w:rPr>
        <w:t xml:space="preserve"> </w:t>
      </w:r>
      <w:r>
        <w:t>different</w:t>
      </w:r>
      <w:r>
        <w:rPr>
          <w:spacing w:val="-5"/>
        </w:rPr>
        <w:t xml:space="preserve"> </w:t>
      </w:r>
      <w:r>
        <w:t>substances</w:t>
      </w:r>
      <w:r>
        <w:rPr>
          <w:spacing w:val="-6"/>
        </w:rPr>
        <w:t xml:space="preserve"> </w:t>
      </w:r>
      <w:r>
        <w:t xml:space="preserve">on </w:t>
      </w:r>
      <w:r>
        <w:rPr>
          <w:spacing w:val="-2"/>
        </w:rPr>
        <w:t>catalepsy</w:t>
      </w:r>
    </w:p>
    <w:p w14:paraId="7FEA540C" w14:textId="77777777" w:rsidR="001B6ABB" w:rsidRDefault="00000000">
      <w:pPr>
        <w:pStyle w:val="BodyText"/>
        <w:spacing w:before="155"/>
        <w:ind w:left="344" w:right="929"/>
      </w:pPr>
      <w:r>
        <w:t>n=7, Results are presented as mean± standard deviation with Tukey's multiple range test coming after one-way</w:t>
      </w:r>
      <w:r>
        <w:rPr>
          <w:spacing w:val="-2"/>
        </w:rPr>
        <w:t xml:space="preserve"> </w:t>
      </w:r>
      <w:r>
        <w:t xml:space="preserve">ANOVA, F (7,42) = 907.3; </w:t>
      </w:r>
      <w:r>
        <w:rPr>
          <w:vertAlign w:val="superscript"/>
        </w:rPr>
        <w:t>a</w:t>
      </w:r>
      <w:r>
        <w:t xml:space="preserve"> p&lt;0.05 vs control group; </w:t>
      </w:r>
      <w:r>
        <w:rPr>
          <w:vertAlign w:val="superscript"/>
        </w:rPr>
        <w:t>b</w:t>
      </w:r>
      <w:r>
        <w:t xml:space="preserve"> p&lt;0.05 vs ovariectomized group= Ovariectomized; IP per se =</w:t>
      </w:r>
      <w:proofErr w:type="spellStart"/>
      <w:r>
        <w:t>Ipriflavone</w:t>
      </w:r>
      <w:proofErr w:type="spellEnd"/>
      <w:r>
        <w:t xml:space="preserve"> per se; EV per se= Estradiol Valerate; IP Treated = </w:t>
      </w:r>
      <w:proofErr w:type="spellStart"/>
      <w:r>
        <w:t>Ipriflavone</w:t>
      </w:r>
      <w:proofErr w:type="spellEnd"/>
      <w:r>
        <w:t xml:space="preserve"> Treated; EV Treated= Estradiol</w:t>
      </w:r>
      <w:r>
        <w:rPr>
          <w:spacing w:val="40"/>
        </w:rPr>
        <w:t xml:space="preserve"> </w:t>
      </w:r>
      <w:proofErr w:type="gramStart"/>
      <w:r>
        <w:t>Valerate</w:t>
      </w:r>
      <w:r>
        <w:rPr>
          <w:spacing w:val="51"/>
        </w:rPr>
        <w:t xml:space="preserve">  </w:t>
      </w:r>
      <w:r>
        <w:t>Treated</w:t>
      </w:r>
      <w:proofErr w:type="gramEnd"/>
      <w:r>
        <w:t>;</w:t>
      </w:r>
      <w:r>
        <w:rPr>
          <w:spacing w:val="55"/>
        </w:rPr>
        <w:t xml:space="preserve">  </w:t>
      </w:r>
      <w:r>
        <w:t>IP+EV</w:t>
      </w:r>
      <w:r>
        <w:rPr>
          <w:spacing w:val="52"/>
        </w:rPr>
        <w:t xml:space="preserve">  </w:t>
      </w:r>
      <w:r>
        <w:rPr>
          <w:spacing w:val="-2"/>
        </w:rPr>
        <w:t>Treated=</w:t>
      </w:r>
      <w:proofErr w:type="spellStart"/>
      <w:r>
        <w:rPr>
          <w:spacing w:val="-2"/>
        </w:rPr>
        <w:t>Ipriflavone</w:t>
      </w:r>
      <w:proofErr w:type="spellEnd"/>
    </w:p>
    <w:p w14:paraId="5BA74685" w14:textId="77777777" w:rsidR="001B6ABB" w:rsidRDefault="00000000">
      <w:pPr>
        <w:pStyle w:val="BodyText"/>
        <w:spacing w:before="3"/>
        <w:ind w:left="344"/>
      </w:pPr>
      <w:r>
        <w:t>+Estradiol</w:t>
      </w:r>
      <w:r>
        <w:rPr>
          <w:spacing w:val="-9"/>
        </w:rPr>
        <w:t xml:space="preserve"> </w:t>
      </w:r>
      <w:r>
        <w:t>Valerate</w:t>
      </w:r>
      <w:r>
        <w:rPr>
          <w:spacing w:val="-12"/>
        </w:rPr>
        <w:t xml:space="preserve"> </w:t>
      </w:r>
      <w:r>
        <w:rPr>
          <w:spacing w:val="-2"/>
        </w:rPr>
        <w:t>Treated.</w:t>
      </w:r>
    </w:p>
    <w:p w14:paraId="3B494764" w14:textId="77777777" w:rsidR="001B6ABB" w:rsidRDefault="00000000">
      <w:pPr>
        <w:pStyle w:val="BodyText"/>
        <w:spacing w:before="9"/>
        <w:ind w:left="0"/>
        <w:jc w:val="left"/>
        <w:rPr>
          <w:sz w:val="17"/>
        </w:rPr>
      </w:pPr>
      <w:r>
        <w:rPr>
          <w:noProof/>
        </w:rPr>
        <w:drawing>
          <wp:anchor distT="0" distB="0" distL="0" distR="0" simplePos="0" relativeHeight="487590400" behindDoc="1" locked="0" layoutInCell="1" allowOverlap="1" wp14:anchorId="3EE577A9" wp14:editId="042C7666">
            <wp:simplePos x="0" y="0"/>
            <wp:positionH relativeFrom="page">
              <wp:posOffset>4051949</wp:posOffset>
            </wp:positionH>
            <wp:positionV relativeFrom="paragraph">
              <wp:posOffset>145339</wp:posOffset>
            </wp:positionV>
            <wp:extent cx="3124492" cy="242173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3124492" cy="2421731"/>
                    </a:xfrm>
                    <a:prstGeom prst="rect">
                      <a:avLst/>
                    </a:prstGeom>
                  </pic:spPr>
                </pic:pic>
              </a:graphicData>
            </a:graphic>
          </wp:anchor>
        </w:drawing>
      </w:r>
    </w:p>
    <w:p w14:paraId="05449076" w14:textId="77777777" w:rsidR="001B6ABB" w:rsidRDefault="00000000">
      <w:pPr>
        <w:pStyle w:val="Heading2"/>
        <w:spacing w:before="227"/>
        <w:ind w:left="321" w:right="906"/>
        <w:jc w:val="center"/>
      </w:pPr>
      <w:r>
        <w:t>Fig.4:</w:t>
      </w:r>
      <w:r>
        <w:rPr>
          <w:spacing w:val="-8"/>
        </w:rPr>
        <w:t xml:space="preserve"> </w:t>
      </w:r>
      <w:r>
        <w:t>Using</w:t>
      </w:r>
      <w:r>
        <w:rPr>
          <w:spacing w:val="-3"/>
        </w:rPr>
        <w:t xml:space="preserve"> </w:t>
      </w:r>
      <w:r>
        <w:t>the</w:t>
      </w:r>
      <w:r>
        <w:rPr>
          <w:spacing w:val="-6"/>
        </w:rPr>
        <w:t xml:space="preserve"> </w:t>
      </w:r>
      <w:r>
        <w:t>Morris</w:t>
      </w:r>
      <w:r>
        <w:rPr>
          <w:spacing w:val="-2"/>
        </w:rPr>
        <w:t xml:space="preserve"> </w:t>
      </w:r>
      <w:r>
        <w:t>water</w:t>
      </w:r>
      <w:r>
        <w:rPr>
          <w:spacing w:val="-6"/>
        </w:rPr>
        <w:t xml:space="preserve"> </w:t>
      </w:r>
      <w:r>
        <w:t>maze,</w:t>
      </w:r>
      <w:r>
        <w:rPr>
          <w:spacing w:val="-5"/>
        </w:rPr>
        <w:t xml:space="preserve"> </w:t>
      </w:r>
      <w:r>
        <w:t>the</w:t>
      </w:r>
      <w:r>
        <w:rPr>
          <w:spacing w:val="-6"/>
        </w:rPr>
        <w:t xml:space="preserve"> </w:t>
      </w:r>
      <w:r>
        <w:t>impacts of several agents on transfer latency (MWM)</w:t>
      </w:r>
    </w:p>
    <w:p w14:paraId="3266BD22" w14:textId="77777777" w:rsidR="001B6ABB" w:rsidRDefault="00000000">
      <w:pPr>
        <w:pStyle w:val="BodyText"/>
        <w:spacing w:before="154"/>
        <w:ind w:left="344" w:right="929"/>
      </w:pPr>
      <w:r>
        <w:t xml:space="preserve">n=7, Results are presented as mean± standard deviation with Tukey's multiple range test coming after one-way ANOVA, F (7, 42) = 97.3; </w:t>
      </w:r>
      <w:r>
        <w:rPr>
          <w:vertAlign w:val="superscript"/>
        </w:rPr>
        <w:t>a</w:t>
      </w:r>
      <w:r>
        <w:t xml:space="preserve"> p&lt;0.05 versus Retention Transfer latency by control animals; </w:t>
      </w:r>
      <w:r>
        <w:rPr>
          <w:vertAlign w:val="superscript"/>
        </w:rPr>
        <w:t>b</w:t>
      </w:r>
      <w:r>
        <w:t xml:space="preserve"> p&lt;0.05 vs ovariectomized group= Ovariectomized;</w:t>
      </w:r>
      <w:r>
        <w:rPr>
          <w:spacing w:val="10"/>
        </w:rPr>
        <w:t xml:space="preserve"> </w:t>
      </w:r>
      <w:r>
        <w:t>IP</w:t>
      </w:r>
      <w:r>
        <w:rPr>
          <w:spacing w:val="9"/>
        </w:rPr>
        <w:t xml:space="preserve"> </w:t>
      </w:r>
      <w:r>
        <w:t>per</w:t>
      </w:r>
      <w:r>
        <w:rPr>
          <w:spacing w:val="13"/>
        </w:rPr>
        <w:t xml:space="preserve"> </w:t>
      </w:r>
      <w:r>
        <w:t>se</w:t>
      </w:r>
      <w:r>
        <w:rPr>
          <w:spacing w:val="11"/>
        </w:rPr>
        <w:t xml:space="preserve"> </w:t>
      </w:r>
      <w:r>
        <w:t>=</w:t>
      </w:r>
      <w:proofErr w:type="spellStart"/>
      <w:r>
        <w:t>Ipriflavone</w:t>
      </w:r>
      <w:proofErr w:type="spellEnd"/>
      <w:r>
        <w:rPr>
          <w:spacing w:val="11"/>
        </w:rPr>
        <w:t xml:space="preserve"> </w:t>
      </w:r>
      <w:r>
        <w:t>per</w:t>
      </w:r>
      <w:r>
        <w:rPr>
          <w:spacing w:val="14"/>
        </w:rPr>
        <w:t xml:space="preserve"> </w:t>
      </w:r>
      <w:r>
        <w:t>se;</w:t>
      </w:r>
      <w:r>
        <w:rPr>
          <w:spacing w:val="11"/>
        </w:rPr>
        <w:t xml:space="preserve"> </w:t>
      </w:r>
      <w:r>
        <w:rPr>
          <w:spacing w:val="-5"/>
        </w:rPr>
        <w:t>EV</w:t>
      </w:r>
    </w:p>
    <w:p w14:paraId="2A729905" w14:textId="77777777" w:rsidR="001B6ABB" w:rsidRDefault="001B6ABB">
      <w:pPr>
        <w:sectPr w:rsidR="001B6ABB">
          <w:pgSz w:w="11910" w:h="16840"/>
          <w:pgMar w:top="1340" w:right="500" w:bottom="1100" w:left="540" w:header="578" w:footer="902" w:gutter="0"/>
          <w:cols w:num="2" w:space="720" w:equalWidth="0">
            <w:col w:w="5396" w:space="40"/>
            <w:col w:w="5434"/>
          </w:cols>
        </w:sectPr>
      </w:pPr>
    </w:p>
    <w:p w14:paraId="09651C3A" w14:textId="77777777" w:rsidR="001B6ABB" w:rsidRDefault="00000000">
      <w:pPr>
        <w:pStyle w:val="BodyText"/>
        <w:spacing w:before="83"/>
        <w:ind w:left="900" w:right="357"/>
      </w:pPr>
      <w:r>
        <w:lastRenderedPageBreak/>
        <w:t>per se=</w:t>
      </w:r>
      <w:r>
        <w:rPr>
          <w:spacing w:val="-2"/>
        </w:rPr>
        <w:t xml:space="preserve"> </w:t>
      </w:r>
      <w:r>
        <w:t>Estradiol</w:t>
      </w:r>
      <w:r>
        <w:rPr>
          <w:spacing w:val="-1"/>
        </w:rPr>
        <w:t xml:space="preserve"> </w:t>
      </w:r>
      <w:r>
        <w:t>Valerate;</w:t>
      </w:r>
      <w:r>
        <w:rPr>
          <w:spacing w:val="-1"/>
        </w:rPr>
        <w:t xml:space="preserve"> </w:t>
      </w:r>
      <w:r>
        <w:t>IP</w:t>
      </w:r>
      <w:r>
        <w:rPr>
          <w:spacing w:val="-4"/>
        </w:rPr>
        <w:t xml:space="preserve"> </w:t>
      </w:r>
      <w:r>
        <w:t>Treated</w:t>
      </w:r>
      <w:r>
        <w:rPr>
          <w:spacing w:val="-3"/>
        </w:rPr>
        <w:t xml:space="preserve"> </w:t>
      </w:r>
      <w:r>
        <w:t>=</w:t>
      </w:r>
      <w:r>
        <w:rPr>
          <w:spacing w:val="-1"/>
        </w:rPr>
        <w:t xml:space="preserve"> </w:t>
      </w:r>
      <w:proofErr w:type="spellStart"/>
      <w:r>
        <w:t>Ipriflavone</w:t>
      </w:r>
      <w:proofErr w:type="spellEnd"/>
      <w:r>
        <w:t xml:space="preserve"> Treated; EV Treated= Estradiol Valerate Treated; IP+EV Treated=</w:t>
      </w:r>
      <w:proofErr w:type="spellStart"/>
      <w:r>
        <w:t>Ipriflavone</w:t>
      </w:r>
      <w:proofErr w:type="spellEnd"/>
      <w:r>
        <w:t xml:space="preserve"> +Estradiol Valerate </w:t>
      </w:r>
      <w:r>
        <w:rPr>
          <w:spacing w:val="-2"/>
        </w:rPr>
        <w:t>Treated.</w:t>
      </w:r>
    </w:p>
    <w:p w14:paraId="06F89485" w14:textId="77777777" w:rsidR="001B6ABB" w:rsidRDefault="001B6ABB">
      <w:pPr>
        <w:pStyle w:val="BodyText"/>
        <w:ind w:left="0"/>
        <w:jc w:val="left"/>
      </w:pPr>
    </w:p>
    <w:p w14:paraId="096675AE" w14:textId="77777777" w:rsidR="001B6ABB" w:rsidRDefault="001B6ABB">
      <w:pPr>
        <w:pStyle w:val="BodyText"/>
        <w:spacing w:before="221"/>
        <w:ind w:left="0"/>
        <w:jc w:val="left"/>
      </w:pPr>
    </w:p>
    <w:p w14:paraId="3ABD5300" w14:textId="77777777" w:rsidR="001B6ABB" w:rsidRDefault="00000000">
      <w:pPr>
        <w:pStyle w:val="BodyText"/>
        <w:ind w:left="951" w:right="-101"/>
        <w:jc w:val="left"/>
      </w:pPr>
      <w:r>
        <w:rPr>
          <w:noProof/>
        </w:rPr>
        <w:drawing>
          <wp:inline distT="0" distB="0" distL="0" distR="0" wp14:anchorId="38C6DF07" wp14:editId="4066DD52">
            <wp:extent cx="2868173" cy="231190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2868173" cy="2311907"/>
                    </a:xfrm>
                    <a:prstGeom prst="rect">
                      <a:avLst/>
                    </a:prstGeom>
                  </pic:spPr>
                </pic:pic>
              </a:graphicData>
            </a:graphic>
          </wp:inline>
        </w:drawing>
      </w:r>
    </w:p>
    <w:p w14:paraId="0C260916" w14:textId="77777777" w:rsidR="001B6ABB" w:rsidRDefault="00000000">
      <w:pPr>
        <w:pStyle w:val="Heading2"/>
        <w:spacing w:before="130"/>
        <w:ind w:left="908" w:right="366"/>
        <w:jc w:val="center"/>
      </w:pPr>
      <w:r>
        <w:t>Fig.5:</w:t>
      </w:r>
      <w:r>
        <w:rPr>
          <w:spacing w:val="-8"/>
        </w:rPr>
        <w:t xml:space="preserve"> </w:t>
      </w:r>
      <w:r>
        <w:t>Using</w:t>
      </w:r>
      <w:r>
        <w:rPr>
          <w:spacing w:val="-3"/>
        </w:rPr>
        <w:t xml:space="preserve"> </w:t>
      </w:r>
      <w:r>
        <w:t>the</w:t>
      </w:r>
      <w:r>
        <w:rPr>
          <w:spacing w:val="-6"/>
        </w:rPr>
        <w:t xml:space="preserve"> </w:t>
      </w:r>
      <w:r>
        <w:t>Morris</w:t>
      </w:r>
      <w:r>
        <w:rPr>
          <w:spacing w:val="-4"/>
        </w:rPr>
        <w:t xml:space="preserve"> </w:t>
      </w:r>
      <w:r>
        <w:t>water</w:t>
      </w:r>
      <w:r>
        <w:rPr>
          <w:spacing w:val="-6"/>
        </w:rPr>
        <w:t xml:space="preserve"> </w:t>
      </w:r>
      <w:r>
        <w:t>maze,</w:t>
      </w:r>
      <w:r>
        <w:rPr>
          <w:spacing w:val="-5"/>
        </w:rPr>
        <w:t xml:space="preserve"> </w:t>
      </w:r>
      <w:r>
        <w:t>the</w:t>
      </w:r>
      <w:r>
        <w:rPr>
          <w:spacing w:val="-6"/>
        </w:rPr>
        <w:t xml:space="preserve"> </w:t>
      </w:r>
      <w:r>
        <w:t>impacts of several agents on time spent in target quadrant (TSTQ) (MWM)</w:t>
      </w:r>
    </w:p>
    <w:p w14:paraId="2A373B8E" w14:textId="77777777" w:rsidR="001B6ABB" w:rsidRDefault="00000000">
      <w:pPr>
        <w:pStyle w:val="BodyText"/>
        <w:spacing w:before="160"/>
        <w:ind w:left="900" w:right="355"/>
      </w:pPr>
      <w:r>
        <w:t xml:space="preserve">n=7, Results are presented as mean± standard deviation with Tukey's multiple range test coming after one-way ANOVA, F (7, 42) = 49.80, </w:t>
      </w:r>
      <w:r>
        <w:rPr>
          <w:vertAlign w:val="superscript"/>
        </w:rPr>
        <w:t>a</w:t>
      </w:r>
      <w:r>
        <w:t xml:space="preserve"> p0.05 compared the average amount of time the control animals spent in the target quadrant (TSTQ), and </w:t>
      </w:r>
      <w:r>
        <w:rPr>
          <w:vertAlign w:val="superscript"/>
        </w:rPr>
        <w:t>b</w:t>
      </w:r>
      <w:r>
        <w:rPr>
          <w:spacing w:val="40"/>
        </w:rPr>
        <w:t xml:space="preserve"> </w:t>
      </w:r>
      <w:r>
        <w:t>p 0.05 versus the average amount of time the ovariectomized group spent in the TSTQ.OVX= Ovariectomized; IP per se =</w:t>
      </w:r>
      <w:proofErr w:type="spellStart"/>
      <w:r>
        <w:t>Ipriflavone</w:t>
      </w:r>
      <w:proofErr w:type="spellEnd"/>
      <w:r>
        <w:t xml:space="preserve"> per se; EV per se=</w:t>
      </w:r>
      <w:r>
        <w:rPr>
          <w:spacing w:val="-2"/>
        </w:rPr>
        <w:t xml:space="preserve"> </w:t>
      </w:r>
      <w:r>
        <w:t>Estradiol</w:t>
      </w:r>
      <w:r>
        <w:rPr>
          <w:spacing w:val="-1"/>
        </w:rPr>
        <w:t xml:space="preserve"> </w:t>
      </w:r>
      <w:r>
        <w:t>Valerate;</w:t>
      </w:r>
      <w:r>
        <w:rPr>
          <w:spacing w:val="-1"/>
        </w:rPr>
        <w:t xml:space="preserve"> </w:t>
      </w:r>
      <w:r>
        <w:t>IP</w:t>
      </w:r>
      <w:r>
        <w:rPr>
          <w:spacing w:val="-4"/>
        </w:rPr>
        <w:t xml:space="preserve"> </w:t>
      </w:r>
      <w:r>
        <w:t>Treated</w:t>
      </w:r>
      <w:r>
        <w:rPr>
          <w:spacing w:val="-3"/>
        </w:rPr>
        <w:t xml:space="preserve"> </w:t>
      </w:r>
      <w:r>
        <w:t>=</w:t>
      </w:r>
      <w:r>
        <w:rPr>
          <w:spacing w:val="-1"/>
        </w:rPr>
        <w:t xml:space="preserve"> </w:t>
      </w:r>
      <w:proofErr w:type="spellStart"/>
      <w:r>
        <w:t>Ipriflavone</w:t>
      </w:r>
      <w:proofErr w:type="spellEnd"/>
      <w:r>
        <w:t xml:space="preserve"> Treated; EV Treated= Estradiol Valerate Treated; IP+EV Treated=</w:t>
      </w:r>
      <w:proofErr w:type="spellStart"/>
      <w:r>
        <w:t>Ipriflavone</w:t>
      </w:r>
      <w:proofErr w:type="spellEnd"/>
      <w:r>
        <w:t xml:space="preserve"> +Estradiol Valerate </w:t>
      </w:r>
      <w:r>
        <w:rPr>
          <w:spacing w:val="-2"/>
        </w:rPr>
        <w:t>Treated.</w:t>
      </w:r>
    </w:p>
    <w:p w14:paraId="23F470A8" w14:textId="77777777" w:rsidR="001B6ABB" w:rsidRDefault="001B6ABB">
      <w:pPr>
        <w:pStyle w:val="BodyText"/>
        <w:ind w:left="0"/>
        <w:jc w:val="left"/>
      </w:pPr>
    </w:p>
    <w:p w14:paraId="7392AE1A" w14:textId="77777777" w:rsidR="001B6ABB" w:rsidRDefault="00000000">
      <w:pPr>
        <w:pStyle w:val="BodyText"/>
        <w:spacing w:before="151"/>
        <w:ind w:left="0"/>
        <w:jc w:val="left"/>
      </w:pPr>
      <w:r>
        <w:rPr>
          <w:noProof/>
        </w:rPr>
        <w:drawing>
          <wp:anchor distT="0" distB="0" distL="0" distR="0" simplePos="0" relativeHeight="487590912" behindDoc="1" locked="0" layoutInCell="1" allowOverlap="1" wp14:anchorId="45455B18" wp14:editId="10C48C6D">
            <wp:simplePos x="0" y="0"/>
            <wp:positionH relativeFrom="page">
              <wp:posOffset>974990</wp:posOffset>
            </wp:positionH>
            <wp:positionV relativeFrom="paragraph">
              <wp:posOffset>257342</wp:posOffset>
            </wp:positionV>
            <wp:extent cx="2728944" cy="211226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2728944" cy="2112264"/>
                    </a:xfrm>
                    <a:prstGeom prst="rect">
                      <a:avLst/>
                    </a:prstGeom>
                  </pic:spPr>
                </pic:pic>
              </a:graphicData>
            </a:graphic>
          </wp:anchor>
        </w:drawing>
      </w:r>
    </w:p>
    <w:p w14:paraId="5D2E09D0" w14:textId="77777777" w:rsidR="001B6ABB" w:rsidRDefault="00000000">
      <w:pPr>
        <w:pStyle w:val="Heading2"/>
        <w:spacing w:before="173"/>
        <w:ind w:left="908" w:right="370"/>
        <w:jc w:val="center"/>
      </w:pPr>
      <w:r>
        <w:t>Fig.6:</w:t>
      </w:r>
      <w:r>
        <w:rPr>
          <w:spacing w:val="-10"/>
        </w:rPr>
        <w:t xml:space="preserve"> </w:t>
      </w:r>
      <w:r>
        <w:t>Impacts</w:t>
      </w:r>
      <w:r>
        <w:rPr>
          <w:spacing w:val="-6"/>
        </w:rPr>
        <w:t xml:space="preserve"> </w:t>
      </w:r>
      <w:r>
        <w:t>of</w:t>
      </w:r>
      <w:r>
        <w:rPr>
          <w:spacing w:val="-5"/>
        </w:rPr>
        <w:t xml:space="preserve"> </w:t>
      </w:r>
      <w:r>
        <w:t>various</w:t>
      </w:r>
      <w:r>
        <w:rPr>
          <w:spacing w:val="-6"/>
        </w:rPr>
        <w:t xml:space="preserve"> </w:t>
      </w:r>
      <w:r>
        <w:t>substances</w:t>
      </w:r>
      <w:r>
        <w:rPr>
          <w:spacing w:val="-6"/>
        </w:rPr>
        <w:t xml:space="preserve"> </w:t>
      </w:r>
      <w:r>
        <w:t>on</w:t>
      </w:r>
      <w:r>
        <w:rPr>
          <w:spacing w:val="-6"/>
        </w:rPr>
        <w:t xml:space="preserve"> </w:t>
      </w:r>
      <w:r>
        <w:t>brains acetyl cholinesterase activity</w:t>
      </w:r>
    </w:p>
    <w:p w14:paraId="4A3B5FD5" w14:textId="77777777" w:rsidR="001B6ABB" w:rsidRDefault="00000000">
      <w:pPr>
        <w:pStyle w:val="BodyText"/>
        <w:spacing w:before="83"/>
        <w:ind w:left="322" w:right="929"/>
      </w:pPr>
      <w:r>
        <w:br w:type="column"/>
      </w:r>
      <w:r>
        <w:t xml:space="preserve">n=7, Results are presented as mean± standard deviation with Tukey's multiple range test coming after one-way ANOVA, F (7, 42) = 2102; p&lt;0.05 for the control group and group that received ovariectomized group. </w:t>
      </w:r>
      <w:proofErr w:type="spellStart"/>
      <w:r>
        <w:t>AChE</w:t>
      </w:r>
      <w:proofErr w:type="spellEnd"/>
      <w:r>
        <w:t xml:space="preserve"> stands for acetylcholinesterase, OVX= Ovariectomized; IP</w:t>
      </w:r>
      <w:r>
        <w:rPr>
          <w:spacing w:val="40"/>
        </w:rPr>
        <w:t xml:space="preserve"> </w:t>
      </w:r>
      <w:r>
        <w:t>per se =</w:t>
      </w:r>
      <w:proofErr w:type="spellStart"/>
      <w:r>
        <w:t>Ipriflavone</w:t>
      </w:r>
      <w:proofErr w:type="spellEnd"/>
      <w:r>
        <w:t xml:space="preserve"> per se; EV per se= Estradiol Valerate; IP Treated = </w:t>
      </w:r>
      <w:proofErr w:type="spellStart"/>
      <w:r>
        <w:t>Ipriflavone</w:t>
      </w:r>
      <w:proofErr w:type="spellEnd"/>
      <w:r>
        <w:t xml:space="preserve"> Treated; EV Treated= Estradiol Valerate Treated; IP+EV Treated=</w:t>
      </w:r>
      <w:proofErr w:type="spellStart"/>
      <w:r>
        <w:t>Ipriflavone</w:t>
      </w:r>
      <w:proofErr w:type="spellEnd"/>
      <w:r>
        <w:t xml:space="preserve"> +Estradiol Valerate Treated.</w:t>
      </w:r>
    </w:p>
    <w:p w14:paraId="62D83E1A" w14:textId="77777777" w:rsidR="001B6ABB" w:rsidRDefault="00000000">
      <w:pPr>
        <w:pStyle w:val="BodyText"/>
        <w:ind w:left="0"/>
        <w:jc w:val="left"/>
        <w:rPr>
          <w:sz w:val="17"/>
        </w:rPr>
      </w:pPr>
      <w:r>
        <w:rPr>
          <w:noProof/>
        </w:rPr>
        <w:drawing>
          <wp:anchor distT="0" distB="0" distL="0" distR="0" simplePos="0" relativeHeight="487591424" behindDoc="1" locked="0" layoutInCell="1" allowOverlap="1" wp14:anchorId="5F4BE9DE" wp14:editId="7E57D34B">
            <wp:simplePos x="0" y="0"/>
            <wp:positionH relativeFrom="page">
              <wp:posOffset>4047387</wp:posOffset>
            </wp:positionH>
            <wp:positionV relativeFrom="paragraph">
              <wp:posOffset>139839</wp:posOffset>
            </wp:positionV>
            <wp:extent cx="2905434" cy="234029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2905434" cy="2340292"/>
                    </a:xfrm>
                    <a:prstGeom prst="rect">
                      <a:avLst/>
                    </a:prstGeom>
                  </pic:spPr>
                </pic:pic>
              </a:graphicData>
            </a:graphic>
          </wp:anchor>
        </w:drawing>
      </w:r>
    </w:p>
    <w:p w14:paraId="1CD34F7A" w14:textId="77777777" w:rsidR="001B6ABB" w:rsidRDefault="00000000">
      <w:pPr>
        <w:pStyle w:val="Heading2"/>
        <w:spacing w:before="142"/>
        <w:ind w:left="447" w:right="1056"/>
        <w:jc w:val="center"/>
      </w:pPr>
      <w:r>
        <w:t>Fig.7:</w:t>
      </w:r>
      <w:r>
        <w:rPr>
          <w:spacing w:val="-10"/>
        </w:rPr>
        <w:t xml:space="preserve"> </w:t>
      </w:r>
      <w:r>
        <w:t>Impact</w:t>
      </w:r>
      <w:r>
        <w:rPr>
          <w:spacing w:val="-5"/>
        </w:rPr>
        <w:t xml:space="preserve"> </w:t>
      </w:r>
      <w:r>
        <w:t>of</w:t>
      </w:r>
      <w:r>
        <w:rPr>
          <w:spacing w:val="-5"/>
        </w:rPr>
        <w:t xml:space="preserve"> </w:t>
      </w:r>
      <w:r>
        <w:t>different</w:t>
      </w:r>
      <w:r>
        <w:rPr>
          <w:spacing w:val="-5"/>
        </w:rPr>
        <w:t xml:space="preserve"> </w:t>
      </w:r>
      <w:r>
        <w:t>substances</w:t>
      </w:r>
      <w:r>
        <w:rPr>
          <w:spacing w:val="-6"/>
        </w:rPr>
        <w:t xml:space="preserve"> </w:t>
      </w:r>
      <w:r>
        <w:t>on</w:t>
      </w:r>
      <w:r>
        <w:rPr>
          <w:spacing w:val="-6"/>
        </w:rPr>
        <w:t xml:space="preserve"> </w:t>
      </w:r>
      <w:r>
        <w:t>brain TBARS levels</w:t>
      </w:r>
    </w:p>
    <w:p w14:paraId="719CC19A" w14:textId="77777777" w:rsidR="001B6ABB" w:rsidRDefault="00000000">
      <w:pPr>
        <w:pStyle w:val="BodyText"/>
        <w:spacing w:before="154"/>
        <w:ind w:left="322" w:right="929"/>
      </w:pPr>
      <w:r>
        <w:t>n=7, Results are presented as mean± standard deviation with Tukey's multiple range test coming after one-way</w:t>
      </w:r>
      <w:r>
        <w:rPr>
          <w:spacing w:val="-7"/>
        </w:rPr>
        <w:t xml:space="preserve"> </w:t>
      </w:r>
      <w:r>
        <w:t>ANOVA, F (7, 42)</w:t>
      </w:r>
      <w:r>
        <w:rPr>
          <w:spacing w:val="-3"/>
        </w:rPr>
        <w:t xml:space="preserve"> </w:t>
      </w:r>
      <w:r>
        <w:t xml:space="preserve">= 376.9, </w:t>
      </w:r>
      <w:r>
        <w:rPr>
          <w:vertAlign w:val="superscript"/>
        </w:rPr>
        <w:t>a</w:t>
      </w:r>
      <w:r>
        <w:rPr>
          <w:spacing w:val="-3"/>
        </w:rPr>
        <w:t xml:space="preserve"> </w:t>
      </w:r>
      <w:r>
        <w:t xml:space="preserve">p&lt;0.05 for the control group and </w:t>
      </w:r>
      <w:r>
        <w:rPr>
          <w:vertAlign w:val="superscript"/>
        </w:rPr>
        <w:t>b</w:t>
      </w:r>
      <w:r>
        <w:t xml:space="preserve"> p&lt;0.05 for the group</w:t>
      </w:r>
      <w:r>
        <w:rPr>
          <w:spacing w:val="40"/>
        </w:rPr>
        <w:t xml:space="preserve"> </w:t>
      </w:r>
      <w:r>
        <w:t>that</w:t>
      </w:r>
      <w:r>
        <w:rPr>
          <w:spacing w:val="-3"/>
        </w:rPr>
        <w:t xml:space="preserve"> </w:t>
      </w:r>
      <w:r>
        <w:t>ovariectomized.</w:t>
      </w:r>
      <w:r>
        <w:rPr>
          <w:spacing w:val="-6"/>
        </w:rPr>
        <w:t xml:space="preserve"> </w:t>
      </w:r>
      <w:r>
        <w:t>OVX=</w:t>
      </w:r>
      <w:r>
        <w:rPr>
          <w:spacing w:val="-4"/>
        </w:rPr>
        <w:t xml:space="preserve"> </w:t>
      </w:r>
      <w:r>
        <w:t>Ovariectomized;</w:t>
      </w:r>
      <w:r>
        <w:rPr>
          <w:spacing w:val="-7"/>
        </w:rPr>
        <w:t xml:space="preserve"> </w:t>
      </w:r>
      <w:r>
        <w:t>IP</w:t>
      </w:r>
      <w:r>
        <w:rPr>
          <w:spacing w:val="-5"/>
        </w:rPr>
        <w:t xml:space="preserve"> </w:t>
      </w:r>
      <w:r>
        <w:t>per se =</w:t>
      </w:r>
      <w:proofErr w:type="spellStart"/>
      <w:r>
        <w:t>Ipriflavone</w:t>
      </w:r>
      <w:proofErr w:type="spellEnd"/>
      <w:r>
        <w:t xml:space="preserve"> per se; EV per se= Estradiol Valerate; IP Treated = </w:t>
      </w:r>
      <w:proofErr w:type="spellStart"/>
      <w:r>
        <w:t>Ipriflavone</w:t>
      </w:r>
      <w:proofErr w:type="spellEnd"/>
      <w:r>
        <w:t xml:space="preserve"> Treated; EV Treated= Estradiol Valerate Treated; IP+EV Treated=</w:t>
      </w:r>
      <w:proofErr w:type="spellStart"/>
      <w:r>
        <w:t>Ipriflavone</w:t>
      </w:r>
      <w:proofErr w:type="spellEnd"/>
      <w:r>
        <w:t xml:space="preserve"> +Estradiol Valerate Treated.</w:t>
      </w:r>
    </w:p>
    <w:p w14:paraId="25BC1953" w14:textId="77777777" w:rsidR="001B6ABB" w:rsidRDefault="001B6ABB">
      <w:pPr>
        <w:pStyle w:val="BodyText"/>
        <w:ind w:left="0"/>
        <w:jc w:val="left"/>
      </w:pPr>
    </w:p>
    <w:p w14:paraId="3C2439AD" w14:textId="77777777" w:rsidR="001B6ABB" w:rsidRDefault="00000000">
      <w:pPr>
        <w:pStyle w:val="BodyText"/>
        <w:spacing w:before="173"/>
        <w:ind w:left="0"/>
        <w:jc w:val="left"/>
      </w:pPr>
      <w:r>
        <w:rPr>
          <w:noProof/>
        </w:rPr>
        <w:drawing>
          <wp:anchor distT="0" distB="0" distL="0" distR="0" simplePos="0" relativeHeight="487591936" behindDoc="1" locked="0" layoutInCell="1" allowOverlap="1" wp14:anchorId="0A51E8CC" wp14:editId="035C9A07">
            <wp:simplePos x="0" y="0"/>
            <wp:positionH relativeFrom="page">
              <wp:posOffset>4082948</wp:posOffset>
            </wp:positionH>
            <wp:positionV relativeFrom="paragraph">
              <wp:posOffset>271615</wp:posOffset>
            </wp:positionV>
            <wp:extent cx="2876232" cy="195367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2876232" cy="1953672"/>
                    </a:xfrm>
                    <a:prstGeom prst="rect">
                      <a:avLst/>
                    </a:prstGeom>
                  </pic:spPr>
                </pic:pic>
              </a:graphicData>
            </a:graphic>
          </wp:anchor>
        </w:drawing>
      </w:r>
    </w:p>
    <w:p w14:paraId="54C58859" w14:textId="77777777" w:rsidR="001B6ABB" w:rsidRDefault="001B6ABB">
      <w:pPr>
        <w:pStyle w:val="BodyText"/>
        <w:spacing w:before="59"/>
        <w:ind w:left="0"/>
        <w:jc w:val="left"/>
      </w:pPr>
    </w:p>
    <w:p w14:paraId="390CAAC1" w14:textId="77777777" w:rsidR="001B6ABB" w:rsidRDefault="00000000">
      <w:pPr>
        <w:pStyle w:val="Heading2"/>
        <w:ind w:left="261" w:right="871"/>
        <w:jc w:val="center"/>
      </w:pPr>
      <w:r>
        <w:t>Fig.8</w:t>
      </w:r>
      <w:r>
        <w:rPr>
          <w:spacing w:val="-6"/>
        </w:rPr>
        <w:t xml:space="preserve"> </w:t>
      </w:r>
      <w:r>
        <w:t>Impact</w:t>
      </w:r>
      <w:r>
        <w:rPr>
          <w:spacing w:val="-10"/>
        </w:rPr>
        <w:t xml:space="preserve"> </w:t>
      </w:r>
      <w:r>
        <w:t>of</w:t>
      </w:r>
      <w:r>
        <w:rPr>
          <w:spacing w:val="-6"/>
        </w:rPr>
        <w:t xml:space="preserve"> </w:t>
      </w:r>
      <w:r>
        <w:t>different</w:t>
      </w:r>
      <w:r>
        <w:rPr>
          <w:spacing w:val="-6"/>
        </w:rPr>
        <w:t xml:space="preserve"> </w:t>
      </w:r>
      <w:r>
        <w:t>substances</w:t>
      </w:r>
      <w:r>
        <w:rPr>
          <w:spacing w:val="-6"/>
        </w:rPr>
        <w:t xml:space="preserve"> </w:t>
      </w:r>
      <w:r>
        <w:t>on</w:t>
      </w:r>
      <w:r>
        <w:rPr>
          <w:spacing w:val="-6"/>
        </w:rPr>
        <w:t xml:space="preserve"> </w:t>
      </w:r>
      <w:r>
        <w:t>serum oxide dismutase activity</w:t>
      </w:r>
    </w:p>
    <w:p w14:paraId="35FF8196" w14:textId="77777777" w:rsidR="001B6ABB" w:rsidRDefault="001B6ABB">
      <w:pPr>
        <w:jc w:val="center"/>
        <w:sectPr w:rsidR="001B6ABB">
          <w:pgSz w:w="11910" w:h="16840"/>
          <w:pgMar w:top="1340" w:right="500" w:bottom="1100" w:left="540" w:header="578" w:footer="902" w:gutter="0"/>
          <w:cols w:num="2" w:space="720" w:equalWidth="0">
            <w:col w:w="5417" w:space="40"/>
            <w:col w:w="5413"/>
          </w:cols>
        </w:sectPr>
      </w:pPr>
    </w:p>
    <w:p w14:paraId="261B184F" w14:textId="77777777" w:rsidR="001B6ABB" w:rsidRDefault="00000000">
      <w:pPr>
        <w:pStyle w:val="BodyText"/>
        <w:spacing w:before="83"/>
        <w:ind w:left="900" w:right="27"/>
      </w:pPr>
      <w:r>
        <w:lastRenderedPageBreak/>
        <w:t>n=7, Results are presented as mean± standard deviation with Tukey's multiple range test coming after one-way ANOVA, F (7, 42) = 32.896; p&lt;0.05for comparison with the control group and the group that ovariectomized. OVX= Ovariectomized; IP per se =</w:t>
      </w:r>
      <w:proofErr w:type="spellStart"/>
      <w:r>
        <w:t>Ipriflavone</w:t>
      </w:r>
      <w:proofErr w:type="spellEnd"/>
      <w:r>
        <w:t xml:space="preserve"> per se; EV per se=</w:t>
      </w:r>
      <w:r>
        <w:rPr>
          <w:spacing w:val="-2"/>
        </w:rPr>
        <w:t xml:space="preserve"> </w:t>
      </w:r>
      <w:r>
        <w:t>Estradiol</w:t>
      </w:r>
      <w:r>
        <w:rPr>
          <w:spacing w:val="-1"/>
        </w:rPr>
        <w:t xml:space="preserve"> </w:t>
      </w:r>
      <w:r>
        <w:t>Valerate;</w:t>
      </w:r>
      <w:r>
        <w:rPr>
          <w:spacing w:val="-1"/>
        </w:rPr>
        <w:t xml:space="preserve"> </w:t>
      </w:r>
      <w:r>
        <w:t>IP</w:t>
      </w:r>
      <w:r>
        <w:rPr>
          <w:spacing w:val="-4"/>
        </w:rPr>
        <w:t xml:space="preserve"> </w:t>
      </w:r>
      <w:r>
        <w:t>Treated</w:t>
      </w:r>
      <w:r>
        <w:rPr>
          <w:spacing w:val="-3"/>
        </w:rPr>
        <w:t xml:space="preserve"> </w:t>
      </w:r>
      <w:r>
        <w:t>=</w:t>
      </w:r>
      <w:r>
        <w:rPr>
          <w:spacing w:val="-1"/>
        </w:rPr>
        <w:t xml:space="preserve"> </w:t>
      </w:r>
      <w:proofErr w:type="spellStart"/>
      <w:r>
        <w:t>Ipriflavone</w:t>
      </w:r>
      <w:proofErr w:type="spellEnd"/>
      <w:r>
        <w:t xml:space="preserve"> Treated; EV Treated= Estradiol Valerate Treated; IP+EV Treated=</w:t>
      </w:r>
      <w:proofErr w:type="spellStart"/>
      <w:r>
        <w:t>Ipriflavone</w:t>
      </w:r>
      <w:proofErr w:type="spellEnd"/>
      <w:r>
        <w:t xml:space="preserve"> +Estradiol Valerate </w:t>
      </w:r>
      <w:r>
        <w:rPr>
          <w:spacing w:val="-2"/>
        </w:rPr>
        <w:t>Treated.</w:t>
      </w:r>
    </w:p>
    <w:p w14:paraId="788046BE" w14:textId="77777777" w:rsidR="001B6ABB" w:rsidRDefault="001B6ABB">
      <w:pPr>
        <w:pStyle w:val="BodyText"/>
        <w:spacing w:before="31"/>
        <w:ind w:left="0"/>
        <w:jc w:val="left"/>
      </w:pPr>
    </w:p>
    <w:p w14:paraId="6C26E221" w14:textId="77777777" w:rsidR="001B6ABB" w:rsidRDefault="00000000">
      <w:pPr>
        <w:pStyle w:val="BodyText"/>
        <w:ind w:left="949" w:right="-101"/>
        <w:jc w:val="left"/>
      </w:pPr>
      <w:r>
        <w:rPr>
          <w:noProof/>
        </w:rPr>
        <w:drawing>
          <wp:inline distT="0" distB="0" distL="0" distR="0" wp14:anchorId="128DAFB3" wp14:editId="609A1F7F">
            <wp:extent cx="2658350" cy="214579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2658350" cy="2145792"/>
                    </a:xfrm>
                    <a:prstGeom prst="rect">
                      <a:avLst/>
                    </a:prstGeom>
                  </pic:spPr>
                </pic:pic>
              </a:graphicData>
            </a:graphic>
          </wp:inline>
        </w:drawing>
      </w:r>
    </w:p>
    <w:p w14:paraId="2ABDF69D" w14:textId="77777777" w:rsidR="001B6ABB" w:rsidRDefault="00000000">
      <w:pPr>
        <w:pStyle w:val="Heading2"/>
        <w:spacing w:before="161"/>
        <w:ind w:left="2345" w:hanging="1350"/>
        <w:jc w:val="left"/>
      </w:pPr>
      <w:r>
        <w:t>Fig.7:</w:t>
      </w:r>
      <w:r>
        <w:rPr>
          <w:spacing w:val="-10"/>
        </w:rPr>
        <w:t xml:space="preserve"> </w:t>
      </w:r>
      <w:r>
        <w:t>Impact</w:t>
      </w:r>
      <w:r>
        <w:rPr>
          <w:spacing w:val="-6"/>
        </w:rPr>
        <w:t xml:space="preserve"> </w:t>
      </w:r>
      <w:r>
        <w:t>of</w:t>
      </w:r>
      <w:r>
        <w:rPr>
          <w:spacing w:val="-6"/>
        </w:rPr>
        <w:t xml:space="preserve"> </w:t>
      </w:r>
      <w:r>
        <w:t>different</w:t>
      </w:r>
      <w:r>
        <w:rPr>
          <w:spacing w:val="-6"/>
        </w:rPr>
        <w:t xml:space="preserve"> </w:t>
      </w:r>
      <w:r>
        <w:t>substances</w:t>
      </w:r>
      <w:r>
        <w:rPr>
          <w:spacing w:val="-7"/>
        </w:rPr>
        <w:t xml:space="preserve"> </w:t>
      </w:r>
      <w:r>
        <w:t>on</w:t>
      </w:r>
      <w:r>
        <w:rPr>
          <w:spacing w:val="-7"/>
        </w:rPr>
        <w:t xml:space="preserve"> </w:t>
      </w:r>
      <w:r>
        <w:t>serum estradiol levels</w:t>
      </w:r>
    </w:p>
    <w:p w14:paraId="54AAAACB" w14:textId="77777777" w:rsidR="001B6ABB" w:rsidRDefault="00000000">
      <w:pPr>
        <w:pStyle w:val="BodyText"/>
        <w:spacing w:before="154"/>
        <w:ind w:left="900" w:right="27"/>
      </w:pPr>
      <w:r>
        <w:t>n=7, Results are presented as mean± standard deviation with Tukey's multiple range test coming after one-way</w:t>
      </w:r>
      <w:r>
        <w:rPr>
          <w:spacing w:val="-7"/>
        </w:rPr>
        <w:t xml:space="preserve"> </w:t>
      </w:r>
      <w:r>
        <w:t>ANOVA, F (7, 42)</w:t>
      </w:r>
      <w:r>
        <w:rPr>
          <w:spacing w:val="-3"/>
        </w:rPr>
        <w:t xml:space="preserve"> </w:t>
      </w:r>
      <w:r>
        <w:t xml:space="preserve">= 376.9, </w:t>
      </w:r>
      <w:r>
        <w:rPr>
          <w:vertAlign w:val="superscript"/>
        </w:rPr>
        <w:t>a</w:t>
      </w:r>
      <w:r>
        <w:rPr>
          <w:spacing w:val="-3"/>
        </w:rPr>
        <w:t xml:space="preserve"> </w:t>
      </w:r>
      <w:r>
        <w:t xml:space="preserve">p&lt;0.05 for the control group and </w:t>
      </w:r>
      <w:r>
        <w:rPr>
          <w:vertAlign w:val="superscript"/>
        </w:rPr>
        <w:t>b</w:t>
      </w:r>
      <w:r>
        <w:t xml:space="preserve"> p&lt;0.05 for the group</w:t>
      </w:r>
      <w:r>
        <w:rPr>
          <w:spacing w:val="40"/>
        </w:rPr>
        <w:t xml:space="preserve"> </w:t>
      </w:r>
      <w:r>
        <w:t>that</w:t>
      </w:r>
      <w:r>
        <w:rPr>
          <w:spacing w:val="-6"/>
        </w:rPr>
        <w:t xml:space="preserve"> </w:t>
      </w:r>
      <w:r>
        <w:t>ovariectomized.</w:t>
      </w:r>
      <w:r>
        <w:rPr>
          <w:spacing w:val="-9"/>
        </w:rPr>
        <w:t xml:space="preserve"> </w:t>
      </w:r>
      <w:r>
        <w:t>OVX=</w:t>
      </w:r>
      <w:r>
        <w:rPr>
          <w:spacing w:val="-7"/>
        </w:rPr>
        <w:t xml:space="preserve"> </w:t>
      </w:r>
      <w:r>
        <w:t>Ovariectomized;</w:t>
      </w:r>
      <w:r>
        <w:rPr>
          <w:spacing w:val="-9"/>
        </w:rPr>
        <w:t xml:space="preserve"> </w:t>
      </w:r>
      <w:r>
        <w:t>IP</w:t>
      </w:r>
      <w:r>
        <w:rPr>
          <w:spacing w:val="-8"/>
        </w:rPr>
        <w:t xml:space="preserve"> </w:t>
      </w:r>
      <w:r>
        <w:rPr>
          <w:spacing w:val="-5"/>
        </w:rPr>
        <w:t>per</w:t>
      </w:r>
    </w:p>
    <w:p w14:paraId="32670BB5" w14:textId="77777777" w:rsidR="001B6ABB" w:rsidRDefault="001B6ABB">
      <w:pPr>
        <w:pStyle w:val="BodyText"/>
        <w:ind w:left="0"/>
        <w:jc w:val="left"/>
      </w:pPr>
    </w:p>
    <w:p w14:paraId="3638F00D" w14:textId="77777777" w:rsidR="001B6ABB" w:rsidRDefault="00000000">
      <w:pPr>
        <w:pStyle w:val="BodyText"/>
        <w:spacing w:before="35"/>
        <w:ind w:left="0"/>
        <w:jc w:val="left"/>
      </w:pPr>
      <w:r>
        <w:rPr>
          <w:noProof/>
        </w:rPr>
        <w:drawing>
          <wp:anchor distT="0" distB="0" distL="0" distR="0" simplePos="0" relativeHeight="487592448" behindDoc="1" locked="0" layoutInCell="1" allowOverlap="1" wp14:anchorId="13B73131" wp14:editId="75E6E769">
            <wp:simplePos x="0" y="0"/>
            <wp:positionH relativeFrom="page">
              <wp:posOffset>962541</wp:posOffset>
            </wp:positionH>
            <wp:positionV relativeFrom="paragraph">
              <wp:posOffset>183584</wp:posOffset>
            </wp:positionV>
            <wp:extent cx="2607442" cy="205358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2607442" cy="2053589"/>
                    </a:xfrm>
                    <a:prstGeom prst="rect">
                      <a:avLst/>
                    </a:prstGeom>
                  </pic:spPr>
                </pic:pic>
              </a:graphicData>
            </a:graphic>
          </wp:anchor>
        </w:drawing>
      </w:r>
    </w:p>
    <w:p w14:paraId="415DFFA2" w14:textId="77777777" w:rsidR="001B6ABB" w:rsidRDefault="00000000">
      <w:pPr>
        <w:pStyle w:val="Heading2"/>
        <w:spacing w:before="201"/>
        <w:ind w:right="29"/>
      </w:pPr>
      <w:r>
        <w:t>Fig.8: Impact of different substances on Brain GSH level</w:t>
      </w:r>
    </w:p>
    <w:p w14:paraId="4E24CCAE" w14:textId="77777777" w:rsidR="001B6ABB" w:rsidRDefault="00000000">
      <w:pPr>
        <w:pStyle w:val="BodyText"/>
        <w:spacing w:before="155"/>
        <w:ind w:left="900" w:right="26"/>
      </w:pPr>
      <w:r>
        <w:t>n=7, Results are presented as mean± standard deviation with Tukey's multiple range test coming after one-way</w:t>
      </w:r>
      <w:r>
        <w:rPr>
          <w:spacing w:val="-1"/>
        </w:rPr>
        <w:t xml:space="preserve"> </w:t>
      </w:r>
      <w:r>
        <w:t xml:space="preserve">ANOVA, F (7, 42) = 31.32 </w:t>
      </w:r>
      <w:r>
        <w:rPr>
          <w:vertAlign w:val="superscript"/>
        </w:rPr>
        <w:t>a</w:t>
      </w:r>
      <w:r>
        <w:t xml:space="preserve"> p&lt;0.05 compared the control group </w:t>
      </w:r>
      <w:r>
        <w:rPr>
          <w:vertAlign w:val="superscript"/>
        </w:rPr>
        <w:t>b</w:t>
      </w:r>
      <w:r>
        <w:t xml:space="preserve"> p&lt;0.05 versus the group that ovariectomized. GSH = glutathione, OVX=</w:t>
      </w:r>
      <w:r>
        <w:rPr>
          <w:spacing w:val="13"/>
        </w:rPr>
        <w:t xml:space="preserve"> </w:t>
      </w:r>
      <w:r>
        <w:t>Ovariectomized;</w:t>
      </w:r>
      <w:r>
        <w:rPr>
          <w:spacing w:val="11"/>
        </w:rPr>
        <w:t xml:space="preserve"> </w:t>
      </w:r>
      <w:r>
        <w:t>IP</w:t>
      </w:r>
      <w:r>
        <w:rPr>
          <w:spacing w:val="12"/>
        </w:rPr>
        <w:t xml:space="preserve"> </w:t>
      </w:r>
      <w:r>
        <w:t>per</w:t>
      </w:r>
      <w:r>
        <w:rPr>
          <w:spacing w:val="18"/>
        </w:rPr>
        <w:t xml:space="preserve"> </w:t>
      </w:r>
      <w:r>
        <w:t>se</w:t>
      </w:r>
      <w:r>
        <w:rPr>
          <w:spacing w:val="10"/>
        </w:rPr>
        <w:t xml:space="preserve"> </w:t>
      </w:r>
      <w:r>
        <w:t>=</w:t>
      </w:r>
      <w:proofErr w:type="spellStart"/>
      <w:r>
        <w:t>Ipriflavone</w:t>
      </w:r>
      <w:proofErr w:type="spellEnd"/>
      <w:r>
        <w:rPr>
          <w:spacing w:val="11"/>
        </w:rPr>
        <w:t xml:space="preserve"> </w:t>
      </w:r>
      <w:r>
        <w:rPr>
          <w:spacing w:val="-5"/>
        </w:rPr>
        <w:t>per</w:t>
      </w:r>
    </w:p>
    <w:p w14:paraId="74CD1F73" w14:textId="77777777" w:rsidR="001B6ABB" w:rsidRDefault="00000000">
      <w:pPr>
        <w:pStyle w:val="BodyText"/>
        <w:spacing w:before="83"/>
        <w:ind w:left="650" w:right="930"/>
      </w:pPr>
      <w:r>
        <w:br w:type="column"/>
      </w:r>
      <w:r>
        <w:t>se =</w:t>
      </w:r>
      <w:proofErr w:type="spellStart"/>
      <w:r>
        <w:t>Ipriflavone</w:t>
      </w:r>
      <w:proofErr w:type="spellEnd"/>
      <w:r>
        <w:t xml:space="preserve"> per se; EV per se= Estradiol Valerate; IP Treated = </w:t>
      </w:r>
      <w:proofErr w:type="spellStart"/>
      <w:r>
        <w:t>Ipriflavone</w:t>
      </w:r>
      <w:proofErr w:type="spellEnd"/>
      <w:r>
        <w:t xml:space="preserve"> Treated; EV Treated= Estradiol Valerate Treated; IP+EV Treated=</w:t>
      </w:r>
      <w:proofErr w:type="spellStart"/>
      <w:r>
        <w:t>Ipriflavone</w:t>
      </w:r>
      <w:proofErr w:type="spellEnd"/>
      <w:r>
        <w:t xml:space="preserve"> +Estradiol</w:t>
      </w:r>
    </w:p>
    <w:p w14:paraId="7C3C82B9" w14:textId="77777777" w:rsidR="001B6ABB" w:rsidRDefault="00000000">
      <w:pPr>
        <w:pStyle w:val="BodyText"/>
        <w:spacing w:before="145"/>
        <w:ind w:left="0"/>
        <w:jc w:val="left"/>
      </w:pPr>
      <w:r>
        <w:rPr>
          <w:noProof/>
        </w:rPr>
        <w:drawing>
          <wp:anchor distT="0" distB="0" distL="0" distR="0" simplePos="0" relativeHeight="487592960" behindDoc="1" locked="0" layoutInCell="1" allowOverlap="1" wp14:anchorId="36489358" wp14:editId="19495589">
            <wp:simplePos x="0" y="0"/>
            <wp:positionH relativeFrom="page">
              <wp:posOffset>4074808</wp:posOffset>
            </wp:positionH>
            <wp:positionV relativeFrom="paragraph">
              <wp:posOffset>253382</wp:posOffset>
            </wp:positionV>
            <wp:extent cx="2856693" cy="204825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2856693" cy="2048255"/>
                    </a:xfrm>
                    <a:prstGeom prst="rect">
                      <a:avLst/>
                    </a:prstGeom>
                  </pic:spPr>
                </pic:pic>
              </a:graphicData>
            </a:graphic>
          </wp:anchor>
        </w:drawing>
      </w:r>
    </w:p>
    <w:p w14:paraId="386FEE77" w14:textId="77777777" w:rsidR="001B6ABB" w:rsidRDefault="001B6ABB">
      <w:pPr>
        <w:pStyle w:val="BodyText"/>
        <w:spacing w:before="41"/>
        <w:ind w:left="0"/>
        <w:jc w:val="left"/>
      </w:pPr>
    </w:p>
    <w:p w14:paraId="391C1D6D" w14:textId="77777777" w:rsidR="001B6ABB" w:rsidRDefault="00000000">
      <w:pPr>
        <w:pStyle w:val="Heading2"/>
        <w:ind w:left="1529" w:hanging="769"/>
        <w:jc w:val="left"/>
      </w:pPr>
      <w:r>
        <w:t>Fig.9:</w:t>
      </w:r>
      <w:r>
        <w:rPr>
          <w:spacing w:val="-9"/>
        </w:rPr>
        <w:t xml:space="preserve"> </w:t>
      </w:r>
      <w:r>
        <w:t>Impact</w:t>
      </w:r>
      <w:r>
        <w:rPr>
          <w:spacing w:val="-4"/>
        </w:rPr>
        <w:t xml:space="preserve"> </w:t>
      </w:r>
      <w:r>
        <w:t>of</w:t>
      </w:r>
      <w:r>
        <w:rPr>
          <w:spacing w:val="-4"/>
        </w:rPr>
        <w:t xml:space="preserve"> </w:t>
      </w:r>
      <w:r>
        <w:t>different</w:t>
      </w:r>
      <w:r>
        <w:rPr>
          <w:spacing w:val="-4"/>
        </w:rPr>
        <w:t xml:space="preserve"> </w:t>
      </w:r>
      <w:r>
        <w:t>substances</w:t>
      </w:r>
      <w:r>
        <w:rPr>
          <w:spacing w:val="-5"/>
        </w:rPr>
        <w:t xml:space="preserve"> </w:t>
      </w:r>
      <w:r>
        <w:t>on</w:t>
      </w:r>
      <w:r>
        <w:rPr>
          <w:spacing w:val="-10"/>
        </w:rPr>
        <w:t xml:space="preserve"> </w:t>
      </w:r>
      <w:r>
        <w:t>Brain nitrate/nitrite concentration</w:t>
      </w:r>
    </w:p>
    <w:p w14:paraId="06A1C268" w14:textId="77777777" w:rsidR="001B6ABB" w:rsidRDefault="00000000">
      <w:pPr>
        <w:pStyle w:val="BodyText"/>
        <w:spacing w:before="155"/>
        <w:ind w:left="650" w:right="928"/>
      </w:pPr>
      <w:r>
        <w:t xml:space="preserve">n=7, Results are presented as mean± standard deviation with Tukey's multiple range test coming after one-way ANOVA, F (7, 42) = 42.32 </w:t>
      </w:r>
      <w:r>
        <w:rPr>
          <w:vertAlign w:val="superscript"/>
        </w:rPr>
        <w:t>a</w:t>
      </w:r>
      <w:r>
        <w:t xml:space="preserve"> p&lt;0.05compared the control group </w:t>
      </w:r>
      <w:r>
        <w:rPr>
          <w:vertAlign w:val="superscript"/>
        </w:rPr>
        <w:t>b</w:t>
      </w:r>
      <w:r>
        <w:t xml:space="preserve"> p&lt;0.05 versus the group that ovariectomized. OVX= Ovariectomized; IP per se =</w:t>
      </w:r>
      <w:proofErr w:type="spellStart"/>
      <w:r>
        <w:t>Ipriflavone</w:t>
      </w:r>
      <w:proofErr w:type="spellEnd"/>
      <w:r>
        <w:t xml:space="preserve"> per se; EV per se=</w:t>
      </w:r>
      <w:r>
        <w:rPr>
          <w:spacing w:val="-2"/>
        </w:rPr>
        <w:t xml:space="preserve"> </w:t>
      </w:r>
      <w:r>
        <w:t>Estradiol</w:t>
      </w:r>
      <w:r>
        <w:rPr>
          <w:spacing w:val="-1"/>
        </w:rPr>
        <w:t xml:space="preserve"> </w:t>
      </w:r>
      <w:r>
        <w:t>Valerate;</w:t>
      </w:r>
      <w:r>
        <w:rPr>
          <w:spacing w:val="-1"/>
        </w:rPr>
        <w:t xml:space="preserve"> </w:t>
      </w:r>
      <w:r>
        <w:t>IP</w:t>
      </w:r>
      <w:r>
        <w:rPr>
          <w:spacing w:val="-4"/>
        </w:rPr>
        <w:t xml:space="preserve"> </w:t>
      </w:r>
      <w:r>
        <w:t>Treated</w:t>
      </w:r>
      <w:r>
        <w:rPr>
          <w:spacing w:val="-3"/>
        </w:rPr>
        <w:t xml:space="preserve"> </w:t>
      </w:r>
      <w:r>
        <w:t>=</w:t>
      </w:r>
      <w:r>
        <w:rPr>
          <w:spacing w:val="-1"/>
        </w:rPr>
        <w:t xml:space="preserve"> </w:t>
      </w:r>
      <w:proofErr w:type="spellStart"/>
      <w:r>
        <w:t>Ipriflavone</w:t>
      </w:r>
      <w:proofErr w:type="spellEnd"/>
      <w:r>
        <w:t xml:space="preserve"> Treated; EV Treated= Estradiol Valerate Treated; IP+EV Treated=</w:t>
      </w:r>
      <w:proofErr w:type="spellStart"/>
      <w:r>
        <w:t>Ipriflavone</w:t>
      </w:r>
      <w:proofErr w:type="spellEnd"/>
      <w:r>
        <w:t xml:space="preserve"> +Estradiol Valerate </w:t>
      </w:r>
      <w:r>
        <w:rPr>
          <w:spacing w:val="-2"/>
        </w:rPr>
        <w:t>Treated.</w:t>
      </w:r>
    </w:p>
    <w:p w14:paraId="06ABC12A" w14:textId="77777777" w:rsidR="001B6ABB" w:rsidRDefault="00000000">
      <w:pPr>
        <w:pStyle w:val="BodyText"/>
        <w:spacing w:before="149"/>
        <w:ind w:left="650" w:right="932"/>
      </w:pPr>
      <w:r>
        <w:t xml:space="preserve">se; EV per se= Estradiol Valerate; IP Treated = </w:t>
      </w:r>
      <w:proofErr w:type="spellStart"/>
      <w:r>
        <w:t>Ipriflavone</w:t>
      </w:r>
      <w:proofErr w:type="spellEnd"/>
      <w:r>
        <w:t xml:space="preserve"> Treated; EV Treated= Estradiol</w:t>
      </w:r>
      <w:r>
        <w:rPr>
          <w:spacing w:val="40"/>
        </w:rPr>
        <w:t xml:space="preserve"> </w:t>
      </w:r>
      <w:proofErr w:type="gramStart"/>
      <w:r>
        <w:t>Valerate</w:t>
      </w:r>
      <w:r>
        <w:rPr>
          <w:spacing w:val="51"/>
        </w:rPr>
        <w:t xml:space="preserve">  </w:t>
      </w:r>
      <w:r>
        <w:t>Treated</w:t>
      </w:r>
      <w:proofErr w:type="gramEnd"/>
      <w:r>
        <w:t>;</w:t>
      </w:r>
      <w:r>
        <w:rPr>
          <w:spacing w:val="55"/>
        </w:rPr>
        <w:t xml:space="preserve">  </w:t>
      </w:r>
      <w:r>
        <w:t>IP+EV</w:t>
      </w:r>
      <w:r>
        <w:rPr>
          <w:spacing w:val="52"/>
        </w:rPr>
        <w:t xml:space="preserve">  </w:t>
      </w:r>
      <w:r>
        <w:rPr>
          <w:spacing w:val="-2"/>
        </w:rPr>
        <w:t>Treated=</w:t>
      </w:r>
      <w:proofErr w:type="spellStart"/>
      <w:r>
        <w:rPr>
          <w:spacing w:val="-2"/>
        </w:rPr>
        <w:t>Ipriflavone</w:t>
      </w:r>
      <w:proofErr w:type="spellEnd"/>
    </w:p>
    <w:p w14:paraId="061E1046" w14:textId="77777777" w:rsidR="001B6ABB" w:rsidRDefault="00000000">
      <w:pPr>
        <w:pStyle w:val="BodyText"/>
        <w:spacing w:before="1"/>
        <w:ind w:left="650"/>
      </w:pPr>
      <w:r>
        <w:t>+Estradiol</w:t>
      </w:r>
      <w:r>
        <w:rPr>
          <w:spacing w:val="-9"/>
        </w:rPr>
        <w:t xml:space="preserve"> </w:t>
      </w:r>
      <w:r>
        <w:t>Valerate</w:t>
      </w:r>
      <w:r>
        <w:rPr>
          <w:spacing w:val="-12"/>
        </w:rPr>
        <w:t xml:space="preserve"> </w:t>
      </w:r>
      <w:r>
        <w:rPr>
          <w:spacing w:val="-2"/>
        </w:rPr>
        <w:t>Treated.</w:t>
      </w:r>
    </w:p>
    <w:p w14:paraId="4A6300C1" w14:textId="77777777" w:rsidR="001B6ABB" w:rsidRDefault="001B6ABB">
      <w:pPr>
        <w:sectPr w:rsidR="001B6ABB">
          <w:pgSz w:w="11910" w:h="16840"/>
          <w:pgMar w:top="1340" w:right="500" w:bottom="1100" w:left="540" w:header="578" w:footer="902" w:gutter="0"/>
          <w:cols w:num="2" w:space="720" w:equalWidth="0">
            <w:col w:w="5089" w:space="40"/>
            <w:col w:w="5741"/>
          </w:cols>
        </w:sectPr>
      </w:pPr>
    </w:p>
    <w:p w14:paraId="5320D636" w14:textId="77777777" w:rsidR="001B6ABB" w:rsidRDefault="00000000">
      <w:pPr>
        <w:pStyle w:val="Heading2"/>
        <w:spacing w:before="87"/>
        <w:ind w:left="100"/>
        <w:jc w:val="left"/>
      </w:pPr>
      <w:r>
        <w:rPr>
          <w:spacing w:val="-2"/>
        </w:rPr>
        <w:lastRenderedPageBreak/>
        <w:t>Histopathology:</w:t>
      </w:r>
    </w:p>
    <w:p w14:paraId="2DC6B740" w14:textId="77777777" w:rsidR="001B6ABB" w:rsidRDefault="00000000">
      <w:pPr>
        <w:pStyle w:val="BodyText"/>
        <w:spacing w:before="10"/>
        <w:ind w:left="0"/>
        <w:jc w:val="left"/>
        <w:rPr>
          <w:b/>
          <w:sz w:val="11"/>
        </w:rPr>
      </w:pPr>
      <w:r>
        <w:rPr>
          <w:noProof/>
        </w:rPr>
        <w:drawing>
          <wp:anchor distT="0" distB="0" distL="0" distR="0" simplePos="0" relativeHeight="487593472" behindDoc="1" locked="0" layoutInCell="1" allowOverlap="1" wp14:anchorId="2D6335F2" wp14:editId="52196233">
            <wp:simplePos x="0" y="0"/>
            <wp:positionH relativeFrom="page">
              <wp:posOffset>1153794</wp:posOffset>
            </wp:positionH>
            <wp:positionV relativeFrom="paragraph">
              <wp:posOffset>102151</wp:posOffset>
            </wp:positionV>
            <wp:extent cx="5213063" cy="2146363"/>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5213063" cy="2146363"/>
                    </a:xfrm>
                    <a:prstGeom prst="rect">
                      <a:avLst/>
                    </a:prstGeom>
                  </pic:spPr>
                </pic:pic>
              </a:graphicData>
            </a:graphic>
          </wp:anchor>
        </w:drawing>
      </w:r>
      <w:r>
        <w:rPr>
          <w:noProof/>
        </w:rPr>
        <w:drawing>
          <wp:anchor distT="0" distB="0" distL="0" distR="0" simplePos="0" relativeHeight="487593984" behindDoc="1" locked="0" layoutInCell="1" allowOverlap="1" wp14:anchorId="32D91DD6" wp14:editId="4E5A7661">
            <wp:simplePos x="0" y="0"/>
            <wp:positionH relativeFrom="page">
              <wp:posOffset>1167028</wp:posOffset>
            </wp:positionH>
            <wp:positionV relativeFrom="paragraph">
              <wp:posOffset>2374562</wp:posOffset>
            </wp:positionV>
            <wp:extent cx="5196720" cy="227076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5196720" cy="2270760"/>
                    </a:xfrm>
                    <a:prstGeom prst="rect">
                      <a:avLst/>
                    </a:prstGeom>
                  </pic:spPr>
                </pic:pic>
              </a:graphicData>
            </a:graphic>
          </wp:anchor>
        </w:drawing>
      </w:r>
    </w:p>
    <w:p w14:paraId="3B70DFBA" w14:textId="77777777" w:rsidR="001B6ABB" w:rsidRDefault="001B6ABB">
      <w:pPr>
        <w:pStyle w:val="BodyText"/>
        <w:spacing w:before="2"/>
        <w:ind w:left="0"/>
        <w:jc w:val="left"/>
        <w:rPr>
          <w:b/>
          <w:sz w:val="15"/>
        </w:rPr>
      </w:pPr>
    </w:p>
    <w:p w14:paraId="7443B55D" w14:textId="77777777" w:rsidR="001B6ABB" w:rsidRDefault="00000000">
      <w:pPr>
        <w:pStyle w:val="BodyText"/>
        <w:spacing w:before="190"/>
        <w:ind w:left="136" w:right="150"/>
        <w:jc w:val="center"/>
      </w:pPr>
      <w:r>
        <w:rPr>
          <w:b/>
        </w:rPr>
        <w:t>Fig.11:</w:t>
      </w:r>
      <w:r>
        <w:rPr>
          <w:b/>
          <w:spacing w:val="-3"/>
        </w:rPr>
        <w:t xml:space="preserve"> </w:t>
      </w:r>
      <w:r>
        <w:t>Ovary</w:t>
      </w:r>
      <w:r>
        <w:rPr>
          <w:spacing w:val="-10"/>
        </w:rPr>
        <w:t xml:space="preserve"> </w:t>
      </w:r>
      <w:r>
        <w:t>endometrial</w:t>
      </w:r>
      <w:r>
        <w:rPr>
          <w:spacing w:val="40"/>
        </w:rPr>
        <w:t xml:space="preserve"> </w:t>
      </w:r>
      <w:r>
        <w:t>histopathology; x10</w:t>
      </w:r>
      <w:r>
        <w:rPr>
          <w:spacing w:val="-5"/>
        </w:rPr>
        <w:t xml:space="preserve"> </w:t>
      </w:r>
      <w:r>
        <w:t>magnification, H&amp;E staining</w:t>
      </w:r>
      <w:r>
        <w:rPr>
          <w:spacing w:val="-5"/>
        </w:rPr>
        <w:t xml:space="preserve"> </w:t>
      </w:r>
      <w:proofErr w:type="gramStart"/>
      <w:r>
        <w:t>(</w:t>
      </w:r>
      <w:r>
        <w:rPr>
          <w:spacing w:val="-5"/>
        </w:rPr>
        <w:t xml:space="preserve"> </w:t>
      </w:r>
      <w:r>
        <w:t>C</w:t>
      </w:r>
      <w:proofErr w:type="gramEnd"/>
      <w:r>
        <w:t>-Control group;</w:t>
      </w:r>
      <w:r>
        <w:rPr>
          <w:spacing w:val="-3"/>
        </w:rPr>
        <w:t xml:space="preserve"> </w:t>
      </w:r>
      <w:r>
        <w:t xml:space="preserve">OVX- </w:t>
      </w:r>
      <w:proofErr w:type="spellStart"/>
      <w:r>
        <w:t>Overectomized</w:t>
      </w:r>
      <w:proofErr w:type="spellEnd"/>
      <w:r>
        <w:t xml:space="preserve"> group; EV- Estradiol Valerate dose; IP- </w:t>
      </w:r>
      <w:proofErr w:type="spellStart"/>
      <w:r>
        <w:t>Ipriflavone</w:t>
      </w:r>
      <w:proofErr w:type="spellEnd"/>
      <w:r>
        <w:t xml:space="preserve"> dose; IP+EV- Estradiol </w:t>
      </w:r>
      <w:proofErr w:type="spellStart"/>
      <w:r>
        <w:rPr>
          <w:spacing w:val="-2"/>
        </w:rPr>
        <w:t>Valerate+Ipriflavone</w:t>
      </w:r>
      <w:proofErr w:type="spellEnd"/>
      <w:r>
        <w:rPr>
          <w:spacing w:val="-2"/>
        </w:rPr>
        <w:t>)</w:t>
      </w:r>
    </w:p>
    <w:p w14:paraId="6491A5F9" w14:textId="77777777" w:rsidR="001B6ABB" w:rsidRDefault="001B6ABB">
      <w:pPr>
        <w:jc w:val="center"/>
        <w:sectPr w:rsidR="001B6ABB">
          <w:headerReference w:type="default" r:id="rId29"/>
          <w:footerReference w:type="default" r:id="rId30"/>
          <w:pgSz w:w="11910" w:h="16840"/>
          <w:pgMar w:top="1660" w:right="1320" w:bottom="920" w:left="1340" w:header="1284" w:footer="721" w:gutter="0"/>
          <w:cols w:space="720"/>
        </w:sectPr>
      </w:pPr>
    </w:p>
    <w:p w14:paraId="42991E98" w14:textId="77777777" w:rsidR="001B6ABB" w:rsidRDefault="00000000">
      <w:pPr>
        <w:pStyle w:val="Heading2"/>
        <w:spacing w:before="165"/>
        <w:ind w:left="100"/>
        <w:jc w:val="left"/>
      </w:pPr>
      <w:r>
        <w:rPr>
          <w:spacing w:val="-2"/>
        </w:rPr>
        <w:t>Discussion</w:t>
      </w:r>
    </w:p>
    <w:p w14:paraId="07377E98" w14:textId="77777777" w:rsidR="001B6ABB" w:rsidRDefault="00000000">
      <w:pPr>
        <w:pStyle w:val="BodyText"/>
        <w:spacing w:before="154"/>
        <w:ind w:right="38"/>
      </w:pPr>
      <w:r>
        <w:t>In this study, researchers have explored the effects of changing E2 level on cognitive functioning with advancing age. We have identified that E2 may interact with three systems within the brain important to cognitive aging: the basal forebrain cholinergic system, the dopaminergic system, and the mitochondrial bioenergetic system. Declining E2 levels have been linked with decreased</w:t>
      </w:r>
      <w:r>
        <w:rPr>
          <w:spacing w:val="40"/>
        </w:rPr>
        <w:t xml:space="preserve"> </w:t>
      </w:r>
      <w:r>
        <w:t>cognitive performance in clinical and preclinical studies, with E2 treatment attenuating these symptoms. In both clinical and preclinical studies, the timing of the treatment may be important, and this critical window may be linked to the declining cholinergic</w:t>
      </w:r>
      <w:r>
        <w:rPr>
          <w:spacing w:val="-6"/>
        </w:rPr>
        <w:t xml:space="preserve"> </w:t>
      </w:r>
      <w:r>
        <w:t>system.</w:t>
      </w:r>
      <w:r>
        <w:rPr>
          <w:spacing w:val="-1"/>
        </w:rPr>
        <w:t xml:space="preserve"> </w:t>
      </w:r>
      <w:r>
        <w:t>Some</w:t>
      </w:r>
      <w:r>
        <w:rPr>
          <w:spacing w:val="-6"/>
        </w:rPr>
        <w:t xml:space="preserve"> </w:t>
      </w:r>
      <w:r>
        <w:t>later</w:t>
      </w:r>
      <w:r>
        <w:rPr>
          <w:spacing w:val="-3"/>
        </w:rPr>
        <w:t xml:space="preserve"> </w:t>
      </w:r>
      <w:r>
        <w:t>life</w:t>
      </w:r>
      <w:r>
        <w:rPr>
          <w:spacing w:val="-6"/>
        </w:rPr>
        <w:t xml:space="preserve"> </w:t>
      </w:r>
      <w:r>
        <w:t>disorders</w:t>
      </w:r>
      <w:r>
        <w:rPr>
          <w:spacing w:val="-4"/>
        </w:rPr>
        <w:t xml:space="preserve"> </w:t>
      </w:r>
      <w:r>
        <w:t>appear to show a link to reduced E2 levels and the timing of</w:t>
      </w:r>
      <w:r>
        <w:rPr>
          <w:spacing w:val="-5"/>
        </w:rPr>
        <w:t xml:space="preserve"> </w:t>
      </w:r>
      <w:r>
        <w:t>menopause, particularly</w:t>
      </w:r>
      <w:r>
        <w:rPr>
          <w:spacing w:val="-10"/>
        </w:rPr>
        <w:t xml:space="preserve"> </w:t>
      </w:r>
      <w:r>
        <w:t>Alzheimer’s</w:t>
      </w:r>
      <w:r>
        <w:rPr>
          <w:spacing w:val="-2"/>
        </w:rPr>
        <w:t xml:space="preserve"> </w:t>
      </w:r>
      <w:r>
        <w:t>disease</w:t>
      </w:r>
      <w:r>
        <w:rPr>
          <w:spacing w:val="-4"/>
        </w:rPr>
        <w:t xml:space="preserve"> </w:t>
      </w:r>
      <w:r>
        <w:t xml:space="preserve">and </w:t>
      </w:r>
      <w:r>
        <w:rPr>
          <w:spacing w:val="-2"/>
        </w:rPr>
        <w:t>depression.</w:t>
      </w:r>
    </w:p>
    <w:p w14:paraId="77004ABB" w14:textId="77777777" w:rsidR="001B6ABB" w:rsidRDefault="00000000">
      <w:pPr>
        <w:pStyle w:val="BodyText"/>
        <w:tabs>
          <w:tab w:val="left" w:pos="968"/>
          <w:tab w:val="left" w:pos="2110"/>
          <w:tab w:val="left" w:pos="2498"/>
          <w:tab w:val="left" w:pos="3313"/>
          <w:tab w:val="left" w:pos="3879"/>
        </w:tabs>
        <w:spacing w:before="162"/>
        <w:ind w:right="44"/>
        <w:jc w:val="left"/>
      </w:pPr>
      <w:r>
        <w:t>Alzheimer’s</w:t>
      </w:r>
      <w:r>
        <w:rPr>
          <w:spacing w:val="38"/>
        </w:rPr>
        <w:t xml:space="preserve"> </w:t>
      </w:r>
      <w:r>
        <w:t>disease</w:t>
      </w:r>
      <w:r>
        <w:rPr>
          <w:spacing w:val="36"/>
        </w:rPr>
        <w:t xml:space="preserve"> </w:t>
      </w:r>
      <w:r>
        <w:t>shows</w:t>
      </w:r>
      <w:r>
        <w:rPr>
          <w:spacing w:val="38"/>
        </w:rPr>
        <w:t xml:space="preserve"> </w:t>
      </w:r>
      <w:r>
        <w:t>a</w:t>
      </w:r>
      <w:r>
        <w:rPr>
          <w:spacing w:val="40"/>
        </w:rPr>
        <w:t xml:space="preserve"> </w:t>
      </w:r>
      <w:r>
        <w:t>higher</w:t>
      </w:r>
      <w:r>
        <w:rPr>
          <w:spacing w:val="39"/>
        </w:rPr>
        <w:t xml:space="preserve"> </w:t>
      </w:r>
      <w:r>
        <w:t>incidence</w:t>
      </w:r>
      <w:r>
        <w:rPr>
          <w:spacing w:val="36"/>
        </w:rPr>
        <w:t xml:space="preserve"> </w:t>
      </w:r>
      <w:r>
        <w:t xml:space="preserve">in </w:t>
      </w:r>
      <w:r>
        <w:rPr>
          <w:spacing w:val="-2"/>
        </w:rPr>
        <w:t>women,</w:t>
      </w:r>
      <w:r>
        <w:tab/>
      </w:r>
      <w:r>
        <w:rPr>
          <w:spacing w:val="-2"/>
        </w:rPr>
        <w:t>particularly</w:t>
      </w:r>
      <w:r>
        <w:tab/>
      </w:r>
      <w:r>
        <w:rPr>
          <w:spacing w:val="-5"/>
        </w:rPr>
        <w:t>in</w:t>
      </w:r>
      <w:r>
        <w:tab/>
      </w:r>
      <w:r>
        <w:rPr>
          <w:spacing w:val="-4"/>
        </w:rPr>
        <w:t>women</w:t>
      </w:r>
      <w:r>
        <w:tab/>
      </w:r>
      <w:r>
        <w:rPr>
          <w:spacing w:val="-5"/>
        </w:rPr>
        <w:t>who</w:t>
      </w:r>
      <w:r>
        <w:tab/>
      </w:r>
      <w:r>
        <w:rPr>
          <w:spacing w:val="-4"/>
        </w:rPr>
        <w:t>have</w:t>
      </w:r>
    </w:p>
    <w:p w14:paraId="613FED01" w14:textId="77777777" w:rsidR="001B6ABB" w:rsidRDefault="00000000">
      <w:pPr>
        <w:pStyle w:val="BodyText"/>
        <w:spacing w:before="160"/>
        <w:ind w:right="109"/>
      </w:pPr>
      <w:r>
        <w:br w:type="column"/>
      </w:r>
      <w:r>
        <w:t xml:space="preserve">experienced an earlier menopause. In addition, schizophrenia displays a second peak of onset in midlife in women, around the time of menopause, and an early age of first menarche appears protective against developing schizophrenia. Given the cholinergic, dopaminergic, and mitochondrial systems are dysregulated in </w:t>
      </w:r>
      <w:proofErr w:type="gramStart"/>
      <w:r>
        <w:t>a number of</w:t>
      </w:r>
      <w:proofErr w:type="gramEnd"/>
      <w:r>
        <w:t xml:space="preserve"> neurodegenerative diseases associated with aging (e.g., Alzheimer’s</w:t>
      </w:r>
      <w:r>
        <w:rPr>
          <w:spacing w:val="-5"/>
        </w:rPr>
        <w:t xml:space="preserve"> </w:t>
      </w:r>
      <w:r>
        <w:t>disease) utilization of</w:t>
      </w:r>
      <w:r>
        <w:rPr>
          <w:spacing w:val="-4"/>
        </w:rPr>
        <w:t xml:space="preserve"> </w:t>
      </w:r>
      <w:r>
        <w:t>E2</w:t>
      </w:r>
      <w:r>
        <w:rPr>
          <w:spacing w:val="-4"/>
        </w:rPr>
        <w:t xml:space="preserve"> </w:t>
      </w:r>
      <w:r>
        <w:t>therapy has been explored in with a number of clinical</w:t>
      </w:r>
      <w:r>
        <w:rPr>
          <w:spacing w:val="80"/>
        </w:rPr>
        <w:t xml:space="preserve"> </w:t>
      </w:r>
      <w:r>
        <w:t>trials without success to date [21, 22, 23].</w:t>
      </w:r>
    </w:p>
    <w:p w14:paraId="6C742FFA" w14:textId="77777777" w:rsidR="001B6ABB" w:rsidRDefault="00000000">
      <w:pPr>
        <w:pStyle w:val="BodyText"/>
        <w:spacing w:before="159"/>
        <w:ind w:right="113"/>
      </w:pPr>
      <w:r>
        <w:t xml:space="preserve">However, it may be that E2 treatment needs to be specifically tailored based on the </w:t>
      </w:r>
      <w:proofErr w:type="gramStart"/>
      <w:r>
        <w:t>patients</w:t>
      </w:r>
      <w:proofErr w:type="gramEnd"/>
      <w:r>
        <w:t xml:space="preserve"> risk profile. The</w:t>
      </w:r>
      <w:r>
        <w:rPr>
          <w:spacing w:val="-4"/>
        </w:rPr>
        <w:t xml:space="preserve"> </w:t>
      </w:r>
      <w:r>
        <w:t>preclinical studies</w:t>
      </w:r>
      <w:r>
        <w:rPr>
          <w:spacing w:val="-2"/>
        </w:rPr>
        <w:t xml:space="preserve"> </w:t>
      </w:r>
      <w:r>
        <w:t>assessing</w:t>
      </w:r>
      <w:r>
        <w:rPr>
          <w:spacing w:val="-6"/>
        </w:rPr>
        <w:t xml:space="preserve"> </w:t>
      </w:r>
      <w:r>
        <w:t>time of</w:t>
      </w:r>
      <w:r>
        <w:rPr>
          <w:spacing w:val="-1"/>
        </w:rPr>
        <w:t xml:space="preserve"> </w:t>
      </w:r>
      <w:r>
        <w:t>E2 delivery with reference to time of reduced E2, and method of E2 delivery, cyclic versus non-cyclic, with or without progesterone provide possible explanations of the disparate</w:t>
      </w:r>
      <w:r>
        <w:rPr>
          <w:spacing w:val="-3"/>
        </w:rPr>
        <w:t xml:space="preserve"> </w:t>
      </w:r>
      <w:r>
        <w:t>results</w:t>
      </w:r>
      <w:r>
        <w:rPr>
          <w:spacing w:val="-1"/>
        </w:rPr>
        <w:t xml:space="preserve"> </w:t>
      </w:r>
      <w:r>
        <w:t>that are</w:t>
      </w:r>
      <w:r>
        <w:rPr>
          <w:spacing w:val="-3"/>
        </w:rPr>
        <w:t xml:space="preserve"> </w:t>
      </w:r>
      <w:r>
        <w:t>seen in the clinical literature. It should also be noted that the nature of the menopause (natural or induced) may</w:t>
      </w:r>
      <w:r>
        <w:rPr>
          <w:spacing w:val="73"/>
        </w:rPr>
        <w:t xml:space="preserve"> </w:t>
      </w:r>
      <w:r>
        <w:t>be</w:t>
      </w:r>
      <w:r>
        <w:rPr>
          <w:spacing w:val="79"/>
        </w:rPr>
        <w:t xml:space="preserve"> </w:t>
      </w:r>
      <w:r>
        <w:t>important</w:t>
      </w:r>
      <w:r>
        <w:rPr>
          <w:spacing w:val="75"/>
        </w:rPr>
        <w:t xml:space="preserve"> </w:t>
      </w:r>
      <w:r>
        <w:t>in</w:t>
      </w:r>
      <w:r>
        <w:rPr>
          <w:spacing w:val="57"/>
          <w:w w:val="150"/>
        </w:rPr>
        <w:t xml:space="preserve"> </w:t>
      </w:r>
      <w:r>
        <w:t>dictating</w:t>
      </w:r>
      <w:r>
        <w:rPr>
          <w:spacing w:val="74"/>
        </w:rPr>
        <w:t xml:space="preserve"> </w:t>
      </w:r>
      <w:r>
        <w:t>the</w:t>
      </w:r>
      <w:r>
        <w:rPr>
          <w:spacing w:val="79"/>
        </w:rPr>
        <w:t xml:space="preserve"> </w:t>
      </w:r>
      <w:r>
        <w:t>efficacy</w:t>
      </w:r>
      <w:r>
        <w:rPr>
          <w:spacing w:val="74"/>
        </w:rPr>
        <w:t xml:space="preserve"> </w:t>
      </w:r>
      <w:r>
        <w:rPr>
          <w:spacing w:val="-5"/>
        </w:rPr>
        <w:t>of</w:t>
      </w:r>
    </w:p>
    <w:p w14:paraId="40618A3F" w14:textId="77777777" w:rsidR="001B6ABB" w:rsidRDefault="001B6ABB">
      <w:pPr>
        <w:sectPr w:rsidR="001B6ABB">
          <w:type w:val="continuous"/>
          <w:pgSz w:w="11910" w:h="16840"/>
          <w:pgMar w:top="1340" w:right="1320" w:bottom="280" w:left="1340" w:header="1284" w:footer="721" w:gutter="0"/>
          <w:cols w:num="2" w:space="720" w:equalWidth="0">
            <w:col w:w="4304" w:space="565"/>
            <w:col w:w="4381"/>
          </w:cols>
        </w:sectPr>
      </w:pPr>
    </w:p>
    <w:p w14:paraId="7901799C" w14:textId="77777777" w:rsidR="001B6ABB" w:rsidRDefault="00000000">
      <w:pPr>
        <w:pStyle w:val="BodyText"/>
        <w:spacing w:before="83"/>
        <w:ind w:right="40"/>
      </w:pPr>
      <w:r>
        <w:lastRenderedPageBreak/>
        <w:t xml:space="preserve">potential treatment. Further, not only are the majority of the positive effects of treatment on cognitive </w:t>
      </w:r>
      <w:proofErr w:type="gramStart"/>
      <w:r>
        <w:t>end-points</w:t>
      </w:r>
      <w:proofErr w:type="gramEnd"/>
      <w:r>
        <w:t xml:space="preserve"> seen when the treatment is given around the time of the menopause transition, but this</w:t>
      </w:r>
      <w:r>
        <w:rPr>
          <w:spacing w:val="-2"/>
        </w:rPr>
        <w:t xml:space="preserve"> </w:t>
      </w:r>
      <w:r>
        <w:t>is also</w:t>
      </w:r>
      <w:r>
        <w:rPr>
          <w:spacing w:val="-1"/>
        </w:rPr>
        <w:t xml:space="preserve"> </w:t>
      </w:r>
      <w:r>
        <w:t>the time when the greatest structural and estrogen receptor changes are seen. One concept that will become increasingly important over the coming years is that of personalized or precision medicine. Specifically, identification of which individuals</w:t>
      </w:r>
      <w:r>
        <w:rPr>
          <w:spacing w:val="-2"/>
        </w:rPr>
        <w:t xml:space="preserve"> </w:t>
      </w:r>
      <w:r>
        <w:t>may</w:t>
      </w:r>
      <w:r>
        <w:rPr>
          <w:spacing w:val="-6"/>
        </w:rPr>
        <w:t xml:space="preserve"> </w:t>
      </w:r>
      <w:r>
        <w:t>benefit from E2</w:t>
      </w:r>
      <w:r>
        <w:rPr>
          <w:spacing w:val="-1"/>
        </w:rPr>
        <w:t xml:space="preserve"> </w:t>
      </w:r>
      <w:r>
        <w:t>therapy</w:t>
      </w:r>
      <w:r>
        <w:rPr>
          <w:spacing w:val="-6"/>
        </w:rPr>
        <w:t xml:space="preserve"> </w:t>
      </w:r>
      <w:r>
        <w:t>and which individuals will not. To enable this,</w:t>
      </w:r>
      <w:r>
        <w:rPr>
          <w:spacing w:val="40"/>
        </w:rPr>
        <w:t xml:space="preserve"> </w:t>
      </w:r>
      <w:r>
        <w:t>genomics approaches assessing the effects of genetic variables and different phenotypic presentations on response to different treatments should be utilized. This strategy will enable the maximal benefit to be obtained without treating individuals that do not require treatment and/or leading to increased risk without corresponding benefit. The presence of subjective cognitive decline (SCD), a known risk factor for the development of cognitive decline and dementia,</w:t>
      </w:r>
      <w:r>
        <w:rPr>
          <w:spacing w:val="40"/>
        </w:rPr>
        <w:t xml:space="preserve"> </w:t>
      </w:r>
      <w:r>
        <w:t>that first occurs during or after menopause may indicate a higher risk population for which specific therapies may be helpful [24]. Additionally, it has been suggested that a neuroprotective effect of E2 may be dependent on apolipoprotein E genotype, although</w:t>
      </w:r>
      <w:r>
        <w:rPr>
          <w:spacing w:val="-2"/>
        </w:rPr>
        <w:t xml:space="preserve"> </w:t>
      </w:r>
      <w:r>
        <w:t>the</w:t>
      </w:r>
      <w:r>
        <w:rPr>
          <w:spacing w:val="-5"/>
        </w:rPr>
        <w:t xml:space="preserve"> </w:t>
      </w:r>
      <w:r>
        <w:t>specifics</w:t>
      </w:r>
      <w:r>
        <w:rPr>
          <w:spacing w:val="-3"/>
        </w:rPr>
        <w:t xml:space="preserve"> </w:t>
      </w:r>
      <w:r>
        <w:t>of</w:t>
      </w:r>
      <w:r>
        <w:rPr>
          <w:spacing w:val="-7"/>
        </w:rPr>
        <w:t xml:space="preserve"> </w:t>
      </w:r>
      <w:r>
        <w:t>this</w:t>
      </w:r>
      <w:r>
        <w:rPr>
          <w:spacing w:val="-3"/>
        </w:rPr>
        <w:t xml:space="preserve"> </w:t>
      </w:r>
      <w:r>
        <w:t>interaction</w:t>
      </w:r>
      <w:r>
        <w:rPr>
          <w:spacing w:val="-2"/>
        </w:rPr>
        <w:t xml:space="preserve"> </w:t>
      </w:r>
      <w:r>
        <w:t>are still</w:t>
      </w:r>
      <w:r>
        <w:rPr>
          <w:spacing w:val="-10"/>
        </w:rPr>
        <w:t xml:space="preserve"> </w:t>
      </w:r>
      <w:r>
        <w:t>not fully understood [25].</w:t>
      </w:r>
    </w:p>
    <w:p w14:paraId="48A356FF" w14:textId="77777777" w:rsidR="001B6ABB" w:rsidRDefault="00000000">
      <w:pPr>
        <w:pStyle w:val="BodyText"/>
        <w:spacing w:before="162"/>
        <w:ind w:right="44"/>
      </w:pPr>
      <w:r>
        <w:t>This does however provide evidence that based on age,</w:t>
      </w:r>
      <w:r>
        <w:rPr>
          <w:spacing w:val="-2"/>
        </w:rPr>
        <w:t xml:space="preserve"> </w:t>
      </w:r>
      <w:r>
        <w:t>phenotype, and</w:t>
      </w:r>
      <w:r>
        <w:rPr>
          <w:spacing w:val="-4"/>
        </w:rPr>
        <w:t xml:space="preserve"> </w:t>
      </w:r>
      <w:r>
        <w:t>genotype, it</w:t>
      </w:r>
      <w:r>
        <w:rPr>
          <w:spacing w:val="-3"/>
        </w:rPr>
        <w:t xml:space="preserve"> </w:t>
      </w:r>
      <w:r>
        <w:t>may</w:t>
      </w:r>
      <w:r>
        <w:rPr>
          <w:spacing w:val="-9"/>
        </w:rPr>
        <w:t xml:space="preserve"> </w:t>
      </w:r>
      <w:r>
        <w:t>be</w:t>
      </w:r>
      <w:r>
        <w:rPr>
          <w:spacing w:val="-3"/>
        </w:rPr>
        <w:t xml:space="preserve"> </w:t>
      </w:r>
      <w:r>
        <w:t>possible</w:t>
      </w:r>
      <w:r>
        <w:rPr>
          <w:spacing w:val="-3"/>
        </w:rPr>
        <w:t xml:space="preserve"> </w:t>
      </w:r>
      <w:r>
        <w:t>to identify patients that are at a higher risk of developing Alzheimer’s disease and may</w:t>
      </w:r>
      <w:r>
        <w:rPr>
          <w:spacing w:val="40"/>
        </w:rPr>
        <w:t xml:space="preserve"> </w:t>
      </w:r>
      <w:r>
        <w:t>potentially benefit from E2 therapy.</w:t>
      </w:r>
    </w:p>
    <w:p w14:paraId="3D4D6242" w14:textId="77777777" w:rsidR="001B6ABB" w:rsidRDefault="00000000">
      <w:pPr>
        <w:pStyle w:val="BodyText"/>
        <w:spacing w:before="161"/>
        <w:ind w:right="38"/>
      </w:pPr>
      <w:proofErr w:type="gramStart"/>
      <w:r>
        <w:t>With regard to</w:t>
      </w:r>
      <w:proofErr w:type="gramEnd"/>
      <w:r>
        <w:t xml:space="preserve"> depressive disorders, it is known</w:t>
      </w:r>
      <w:r>
        <w:rPr>
          <w:spacing w:val="40"/>
        </w:rPr>
        <w:t xml:space="preserve"> </w:t>
      </w:r>
      <w:r>
        <w:t xml:space="preserve">that previous depressive episodes prior to the menopausal transition </w:t>
      </w:r>
      <w:proofErr w:type="gramStart"/>
      <w:r>
        <w:t>increases</w:t>
      </w:r>
      <w:proofErr w:type="gramEnd"/>
      <w:r>
        <w:t xml:space="preserve"> the risk of further depressive episodes following menopause in the absence of E2 therapy. Given the highly polymorphic nature of presence or absence of clinical signs following menopause, it is possible that specific phenotypes or genotypes predispose women to developing mood dysfunction following the menopause transition. Future studies that investigate whether specific phenotypes or genotypes predispose to cognitive or mood dysfunction following menopause, or whether specific genotypes predispose to responsiveness to specific therapies, would allow for greatly</w:t>
      </w:r>
      <w:r>
        <w:rPr>
          <w:spacing w:val="40"/>
        </w:rPr>
        <w:t xml:space="preserve"> </w:t>
      </w:r>
      <w:r>
        <w:t>improved targeting of therapies by</w:t>
      </w:r>
      <w:r>
        <w:rPr>
          <w:spacing w:val="-1"/>
        </w:rPr>
        <w:t xml:space="preserve"> </w:t>
      </w:r>
      <w:r>
        <w:t xml:space="preserve">identifying only those individuals that will likely be responsive to </w:t>
      </w:r>
      <w:r>
        <w:rPr>
          <w:spacing w:val="-2"/>
        </w:rPr>
        <w:t>treatment.</w:t>
      </w:r>
    </w:p>
    <w:p w14:paraId="5CBF4DD9" w14:textId="77777777" w:rsidR="001B6ABB" w:rsidRDefault="00000000">
      <w:pPr>
        <w:pStyle w:val="BodyText"/>
        <w:spacing w:before="162"/>
        <w:ind w:right="38"/>
      </w:pPr>
      <w:r>
        <w:t>Since the publication of the Women’s Health Initiative</w:t>
      </w:r>
      <w:r>
        <w:rPr>
          <w:spacing w:val="-4"/>
        </w:rPr>
        <w:t xml:space="preserve"> </w:t>
      </w:r>
      <w:r>
        <w:t>studies</w:t>
      </w:r>
      <w:r>
        <w:rPr>
          <w:spacing w:val="-2"/>
        </w:rPr>
        <w:t xml:space="preserve"> </w:t>
      </w:r>
      <w:r>
        <w:t>beginning</w:t>
      </w:r>
      <w:r>
        <w:rPr>
          <w:spacing w:val="-6"/>
        </w:rPr>
        <w:t xml:space="preserve"> </w:t>
      </w:r>
      <w:r>
        <w:t>in</w:t>
      </w:r>
      <w:r>
        <w:rPr>
          <w:spacing w:val="-1"/>
        </w:rPr>
        <w:t xml:space="preserve"> </w:t>
      </w:r>
      <w:r>
        <w:t>the</w:t>
      </w:r>
      <w:r>
        <w:rPr>
          <w:spacing w:val="-4"/>
        </w:rPr>
        <w:t xml:space="preserve"> </w:t>
      </w:r>
      <w:r>
        <w:t>early</w:t>
      </w:r>
      <w:r>
        <w:rPr>
          <w:spacing w:val="-11"/>
        </w:rPr>
        <w:t xml:space="preserve"> </w:t>
      </w:r>
      <w:r>
        <w:t>2000s, there has been a decline in the prescription of sex hormone treatment for postmenopausal symptomatology and presumed disease prevention. This</w:t>
      </w:r>
      <w:r>
        <w:rPr>
          <w:spacing w:val="64"/>
          <w:w w:val="150"/>
        </w:rPr>
        <w:t xml:space="preserve"> </w:t>
      </w:r>
      <w:r>
        <w:t>decline</w:t>
      </w:r>
      <w:r>
        <w:rPr>
          <w:spacing w:val="65"/>
          <w:w w:val="150"/>
        </w:rPr>
        <w:t xml:space="preserve"> </w:t>
      </w:r>
      <w:r>
        <w:t>was</w:t>
      </w:r>
      <w:r>
        <w:rPr>
          <w:spacing w:val="66"/>
          <w:w w:val="150"/>
        </w:rPr>
        <w:t xml:space="preserve"> </w:t>
      </w:r>
      <w:r>
        <w:t>in</w:t>
      </w:r>
      <w:r>
        <w:rPr>
          <w:spacing w:val="73"/>
          <w:w w:val="150"/>
        </w:rPr>
        <w:t xml:space="preserve"> </w:t>
      </w:r>
      <w:r>
        <w:t>part</w:t>
      </w:r>
      <w:r>
        <w:rPr>
          <w:spacing w:val="65"/>
          <w:w w:val="150"/>
        </w:rPr>
        <w:t xml:space="preserve"> </w:t>
      </w:r>
      <w:r>
        <w:t>appropriate</w:t>
      </w:r>
      <w:r>
        <w:rPr>
          <w:spacing w:val="65"/>
          <w:w w:val="150"/>
        </w:rPr>
        <w:t xml:space="preserve"> </w:t>
      </w:r>
      <w:r>
        <w:t>but</w:t>
      </w:r>
      <w:r>
        <w:rPr>
          <w:spacing w:val="71"/>
          <w:w w:val="150"/>
        </w:rPr>
        <w:t xml:space="preserve"> </w:t>
      </w:r>
      <w:r>
        <w:rPr>
          <w:spacing w:val="-5"/>
        </w:rPr>
        <w:t>the</w:t>
      </w:r>
    </w:p>
    <w:p w14:paraId="321A6FCD" w14:textId="77777777" w:rsidR="001B6ABB" w:rsidRDefault="00000000">
      <w:pPr>
        <w:pStyle w:val="BodyText"/>
        <w:spacing w:before="83"/>
        <w:ind w:right="109"/>
      </w:pPr>
      <w:r>
        <w:br w:type="column"/>
      </w:r>
      <w:r>
        <w:t>subtleties of the WHI studies and their findings</w:t>
      </w:r>
      <w:r>
        <w:rPr>
          <w:spacing w:val="40"/>
        </w:rPr>
        <w:t xml:space="preserve"> </w:t>
      </w:r>
      <w:r>
        <w:t>have not been as widely appreciated by clinicians and thus the</w:t>
      </w:r>
      <w:r>
        <w:rPr>
          <w:spacing w:val="-2"/>
        </w:rPr>
        <w:t xml:space="preserve"> </w:t>
      </w:r>
      <w:r>
        <w:t>risks of sex hormone prescription may be perceived as larger than the actual data would support. Future research will help clarify which hormone preparations may be potentially useful</w:t>
      </w:r>
      <w:r>
        <w:rPr>
          <w:spacing w:val="80"/>
        </w:rPr>
        <w:t xml:space="preserve"> </w:t>
      </w:r>
      <w:r>
        <w:t>and at what stage of life. Rather than ubiquitous prescription for all postmenopausal women, selective use of sex hormone treatment will be</w:t>
      </w:r>
      <w:r>
        <w:rPr>
          <w:spacing w:val="40"/>
        </w:rPr>
        <w:t xml:space="preserve"> </w:t>
      </w:r>
      <w:r>
        <w:t>aided by better differentiation of which women</w:t>
      </w:r>
      <w:r>
        <w:rPr>
          <w:spacing w:val="40"/>
        </w:rPr>
        <w:t xml:space="preserve"> </w:t>
      </w:r>
      <w:r>
        <w:t>have higher or lower risk for late life cognitive or emotional impairment. In addition, novel hormone preparations or SERMs may be developed that allow for brain-specific effects without risks to peripheral tissues.</w:t>
      </w:r>
    </w:p>
    <w:p w14:paraId="3B3FC984" w14:textId="77777777" w:rsidR="001B6ABB" w:rsidRDefault="00000000">
      <w:pPr>
        <w:pStyle w:val="BodyText"/>
        <w:tabs>
          <w:tab w:val="left" w:pos="1482"/>
          <w:tab w:val="left" w:pos="2298"/>
          <w:tab w:val="left" w:pos="3680"/>
        </w:tabs>
        <w:spacing w:before="161"/>
        <w:ind w:right="110"/>
      </w:pPr>
      <w:r>
        <w:t xml:space="preserve">With the interaction of E2 and cholinergic, dopaminergic, and mitochondrial </w:t>
      </w:r>
      <w:proofErr w:type="spellStart"/>
      <w:r>
        <w:t>bioenergic</w:t>
      </w:r>
      <w:proofErr w:type="spellEnd"/>
      <w:r>
        <w:t xml:space="preserve"> systems, it should be considered that targeting of these systems may have E2 sparing </w:t>
      </w:r>
      <w:proofErr w:type="gramStart"/>
      <w:r>
        <w:t>effects, or</w:t>
      </w:r>
      <w:proofErr w:type="gramEnd"/>
      <w:r>
        <w:t xml:space="preserve"> </w:t>
      </w:r>
      <w:r>
        <w:rPr>
          <w:spacing w:val="-2"/>
        </w:rPr>
        <w:t>potentiate</w:t>
      </w:r>
      <w:r>
        <w:tab/>
      </w:r>
      <w:r>
        <w:rPr>
          <w:spacing w:val="-6"/>
        </w:rPr>
        <w:t>E2</w:t>
      </w:r>
      <w:r>
        <w:tab/>
      </w:r>
      <w:r>
        <w:rPr>
          <w:spacing w:val="-2"/>
        </w:rPr>
        <w:t>beneficial</w:t>
      </w:r>
      <w:r>
        <w:tab/>
      </w:r>
      <w:r>
        <w:rPr>
          <w:spacing w:val="-2"/>
        </w:rPr>
        <w:t xml:space="preserve">effects. </w:t>
      </w:r>
      <w:r>
        <w:t>Acetylcholinesterase inhibitors are the leading treatment for Alzheimer’s disease, which function through boosting cholinergic synaptic signaling. Gibbs and colleagues demonstrated acetylcholinesterase inhibitors can potentiate the effects of E2 in aged rats following prolonged estrogen deprivation. In clinical populations, it has been demonstrated that females who received the acetylcholinesterase inhibitors tacrine in conjunction with estradiol displayed a greater response on cognitive assessment that females who were not receiving concurrent estradiol therapy</w:t>
      </w:r>
      <w:r>
        <w:rPr>
          <w:spacing w:val="40"/>
        </w:rPr>
        <w:t xml:space="preserve"> </w:t>
      </w:r>
      <w:r>
        <w:rPr>
          <w:spacing w:val="-2"/>
        </w:rPr>
        <w:t>[26].</w:t>
      </w:r>
    </w:p>
    <w:p w14:paraId="19228FB8" w14:textId="77777777" w:rsidR="001B6ABB" w:rsidRDefault="00000000">
      <w:pPr>
        <w:pStyle w:val="BodyText"/>
        <w:spacing w:before="162"/>
        <w:ind w:right="110"/>
      </w:pPr>
      <w:proofErr w:type="gramStart"/>
      <w:r>
        <w:t>Thus</w:t>
      </w:r>
      <w:proofErr w:type="gramEnd"/>
      <w:r>
        <w:t xml:space="preserve"> combined hormonal and neurotransmitter based approaches may increase the beneficial effects of both individual therapeutic strategies. Direct targeting of the specific cholinergic</w:t>
      </w:r>
      <w:r>
        <w:rPr>
          <w:spacing w:val="40"/>
        </w:rPr>
        <w:t xml:space="preserve"> </w:t>
      </w:r>
      <w:r>
        <w:t xml:space="preserve">receptors is also becoming an area of interest for boosting the failing cholinergic system in </w:t>
      </w:r>
      <w:proofErr w:type="spellStart"/>
      <w:r>
        <w:t>Alzheimer’sdisease</w:t>
      </w:r>
      <w:proofErr w:type="spellEnd"/>
      <w:r>
        <w:t xml:space="preserve"> [27, 28].</w:t>
      </w:r>
    </w:p>
    <w:p w14:paraId="5DF03340" w14:textId="77777777" w:rsidR="001B6ABB" w:rsidRDefault="00000000">
      <w:pPr>
        <w:pStyle w:val="BodyText"/>
        <w:spacing w:before="162"/>
        <w:ind w:right="112"/>
      </w:pPr>
      <w:r>
        <w:t xml:space="preserve">For example, selective M1 acetylcholine receptor positive allosteric modulators (PAMs) </w:t>
      </w:r>
      <w:proofErr w:type="gramStart"/>
      <w:r>
        <w:t>has</w:t>
      </w:r>
      <w:proofErr w:type="gramEnd"/>
      <w:r>
        <w:t xml:space="preserve"> been of particular interest in Alzheimer’s disease, with efficacy seen across cognitive and biomarker measures in preclinical species [29, 30].</w:t>
      </w:r>
    </w:p>
    <w:p w14:paraId="62EAFAEF" w14:textId="77777777" w:rsidR="001B6ABB" w:rsidRDefault="00000000">
      <w:pPr>
        <w:pStyle w:val="BodyText"/>
        <w:spacing w:before="161"/>
        <w:ind w:right="109"/>
      </w:pPr>
      <w:r>
        <w:t>Identification of at-risk individuals, for example individuals who are displaying SCD,</w:t>
      </w:r>
      <w:r>
        <w:rPr>
          <w:spacing w:val="80"/>
        </w:rPr>
        <w:t xml:space="preserve"> </w:t>
      </w:r>
      <w:r>
        <w:t>asymptomatic, or early symptomatic increased β- amyloid plaque deposition could provide a population for combined treatment approaches. In future studies, it will be critical to understand the potential for M1 PAMs to act synergistically with E2 replacement (or similar hormonal approaches)</w:t>
      </w:r>
      <w:r>
        <w:rPr>
          <w:spacing w:val="40"/>
        </w:rPr>
        <w:t xml:space="preserve"> </w:t>
      </w:r>
      <w:r>
        <w:t>to restore the cognitive and affective deficits associated</w:t>
      </w:r>
      <w:r>
        <w:rPr>
          <w:spacing w:val="22"/>
        </w:rPr>
        <w:t xml:space="preserve"> </w:t>
      </w:r>
      <w:r>
        <w:t>with</w:t>
      </w:r>
      <w:r>
        <w:rPr>
          <w:spacing w:val="23"/>
        </w:rPr>
        <w:t xml:space="preserve"> </w:t>
      </w:r>
      <w:r>
        <w:t>aging</w:t>
      </w:r>
      <w:r>
        <w:rPr>
          <w:spacing w:val="14"/>
        </w:rPr>
        <w:t xml:space="preserve"> </w:t>
      </w:r>
      <w:r>
        <w:t>and</w:t>
      </w:r>
      <w:r>
        <w:rPr>
          <w:spacing w:val="19"/>
        </w:rPr>
        <w:t xml:space="preserve"> </w:t>
      </w:r>
      <w:r>
        <w:t>pathologic</w:t>
      </w:r>
      <w:r>
        <w:rPr>
          <w:spacing w:val="20"/>
        </w:rPr>
        <w:t xml:space="preserve"> </w:t>
      </w:r>
      <w:r>
        <w:t>decline</w:t>
      </w:r>
      <w:r>
        <w:rPr>
          <w:spacing w:val="16"/>
        </w:rPr>
        <w:t xml:space="preserve"> </w:t>
      </w:r>
      <w:r>
        <w:rPr>
          <w:spacing w:val="-4"/>
        </w:rPr>
        <w:t>such</w:t>
      </w:r>
    </w:p>
    <w:p w14:paraId="6BA9971C" w14:textId="77777777" w:rsidR="001B6ABB" w:rsidRDefault="001B6ABB">
      <w:pPr>
        <w:sectPr w:rsidR="001B6ABB">
          <w:pgSz w:w="11910" w:h="16840"/>
          <w:pgMar w:top="1660" w:right="1320" w:bottom="920" w:left="1340" w:header="1284" w:footer="721" w:gutter="0"/>
          <w:cols w:num="2" w:space="720" w:equalWidth="0">
            <w:col w:w="4307" w:space="562"/>
            <w:col w:w="4381"/>
          </w:cols>
        </w:sectPr>
      </w:pPr>
    </w:p>
    <w:p w14:paraId="641709C7" w14:textId="77777777" w:rsidR="001B6ABB" w:rsidRDefault="00000000">
      <w:pPr>
        <w:pStyle w:val="BodyText"/>
        <w:spacing w:before="83"/>
        <w:jc w:val="left"/>
      </w:pPr>
      <w:r>
        <w:lastRenderedPageBreak/>
        <w:t>as</w:t>
      </w:r>
      <w:r>
        <w:rPr>
          <w:spacing w:val="38"/>
        </w:rPr>
        <w:t xml:space="preserve"> </w:t>
      </w:r>
      <w:r>
        <w:t>Alzheimer’s</w:t>
      </w:r>
      <w:r>
        <w:rPr>
          <w:spacing w:val="33"/>
        </w:rPr>
        <w:t xml:space="preserve"> </w:t>
      </w:r>
      <w:r>
        <w:t>disease</w:t>
      </w:r>
      <w:r>
        <w:rPr>
          <w:spacing w:val="36"/>
        </w:rPr>
        <w:t xml:space="preserve"> </w:t>
      </w:r>
      <w:r>
        <w:t>in</w:t>
      </w:r>
      <w:r>
        <w:rPr>
          <w:spacing w:val="39"/>
        </w:rPr>
        <w:t xml:space="preserve"> </w:t>
      </w:r>
      <w:r>
        <w:t>preclinical</w:t>
      </w:r>
      <w:r>
        <w:rPr>
          <w:spacing w:val="36"/>
        </w:rPr>
        <w:t xml:space="preserve"> </w:t>
      </w:r>
      <w:r>
        <w:t>species</w:t>
      </w:r>
      <w:r>
        <w:rPr>
          <w:spacing w:val="38"/>
        </w:rPr>
        <w:t xml:space="preserve"> </w:t>
      </w:r>
      <w:r>
        <w:t>and clinical populations.</w:t>
      </w:r>
    </w:p>
    <w:p w14:paraId="62DEF3D4" w14:textId="77777777" w:rsidR="001B6ABB" w:rsidRDefault="00000000">
      <w:pPr>
        <w:pStyle w:val="Heading2"/>
        <w:spacing w:before="164"/>
        <w:ind w:left="100"/>
        <w:jc w:val="left"/>
      </w:pPr>
      <w:r>
        <w:rPr>
          <w:spacing w:val="-2"/>
        </w:rPr>
        <w:t>Conclusions</w:t>
      </w:r>
    </w:p>
    <w:p w14:paraId="1E3CF25F" w14:textId="77777777" w:rsidR="001B6ABB" w:rsidRDefault="00000000">
      <w:pPr>
        <w:pStyle w:val="BodyText"/>
        <w:spacing w:before="159"/>
        <w:ind w:right="39"/>
      </w:pPr>
      <w:proofErr w:type="spellStart"/>
      <w:r>
        <w:t>Overectomized</w:t>
      </w:r>
      <w:proofErr w:type="spellEnd"/>
      <w:r>
        <w:t xml:space="preserve"> (25mg/kg intraperitoneally once daily for 7 days) administered animals exhibited increased locomotion, increased catalepsy</w:t>
      </w:r>
      <w:r>
        <w:rPr>
          <w:spacing w:val="80"/>
        </w:rPr>
        <w:t xml:space="preserve"> </w:t>
      </w:r>
      <w:r>
        <w:t xml:space="preserve">behavior, impaired spatial learning memory, increased anxiety. These rats also </w:t>
      </w:r>
      <w:proofErr w:type="gramStart"/>
      <w:r>
        <w:t>shown</w:t>
      </w:r>
      <w:proofErr w:type="gramEnd"/>
      <w:r>
        <w:t xml:space="preserve"> biochemical changes like enhanced oxidative stress (enhanced lipid peroxide), increased creatinine kinase and disturbed cholinergic function</w:t>
      </w:r>
      <w:r>
        <w:rPr>
          <w:spacing w:val="40"/>
        </w:rPr>
        <w:t xml:space="preserve"> </w:t>
      </w:r>
      <w:r>
        <w:t>(increased acetylcholinesterase activity). The</w:t>
      </w:r>
      <w:r>
        <w:rPr>
          <w:spacing w:val="40"/>
        </w:rPr>
        <w:t xml:space="preserve"> </w:t>
      </w:r>
      <w:r>
        <w:t xml:space="preserve">Morris Maze Water was used to measure memory and learning impairment. To gauge anxiety, the Elevated Plus Maze was employed. The </w:t>
      </w:r>
      <w:proofErr w:type="spellStart"/>
      <w:r>
        <w:t>Actophotometer</w:t>
      </w:r>
      <w:proofErr w:type="spellEnd"/>
      <w:r>
        <w:t xml:space="preserve"> was used to measure locomotor </w:t>
      </w:r>
      <w:proofErr w:type="spellStart"/>
      <w:proofErr w:type="gramStart"/>
      <w:r>
        <w:t>activity.The</w:t>
      </w:r>
      <w:proofErr w:type="spellEnd"/>
      <w:proofErr w:type="gramEnd"/>
      <w:r>
        <w:t xml:space="preserve"> metal bar was used to measure catalepsy. The glass box was used to measure climbing behavior. Rat brain homogenate and</w:t>
      </w:r>
      <w:r>
        <w:rPr>
          <w:spacing w:val="40"/>
        </w:rPr>
        <w:t xml:space="preserve"> </w:t>
      </w:r>
      <w:r>
        <w:t xml:space="preserve">serum were used for the biochemical evaluation. Administration of </w:t>
      </w:r>
      <w:proofErr w:type="spellStart"/>
      <w:r>
        <w:t>Ipriflavone</w:t>
      </w:r>
      <w:proofErr w:type="spellEnd"/>
      <w:r>
        <w:t xml:space="preserve"> and estradiol</w:t>
      </w:r>
      <w:r>
        <w:rPr>
          <w:spacing w:val="40"/>
        </w:rPr>
        <w:t xml:space="preserve"> </w:t>
      </w:r>
      <w:r>
        <w:t xml:space="preserve">Valerate (a phosphodiesterase-3- inhibitor) (50mg kg </w:t>
      </w:r>
      <w:r>
        <w:rPr>
          <w:vertAlign w:val="superscript"/>
        </w:rPr>
        <w:t>−1</w:t>
      </w:r>
      <w:r>
        <w:t>, oral and 100 mg kg</w:t>
      </w:r>
      <w:r>
        <w:rPr>
          <w:vertAlign w:val="superscript"/>
        </w:rPr>
        <w:t>−1</w:t>
      </w:r>
      <w:r>
        <w:t xml:space="preserve">, oral., 90 days) considerably restored locomotion, decreased catalepsy </w:t>
      </w:r>
      <w:proofErr w:type="spellStart"/>
      <w:r>
        <w:t>sbehavior</w:t>
      </w:r>
      <w:proofErr w:type="spellEnd"/>
      <w:r>
        <w:t xml:space="preserve">, decreased anxiety and improved spatial learning memory. These rats also exhibited biochemical changes like decreased oxidative stress, decreased creatinine kinase and restored cholinergic function in </w:t>
      </w:r>
      <w:proofErr w:type="spellStart"/>
      <w:r>
        <w:t>Overectomized</w:t>
      </w:r>
      <w:proofErr w:type="spellEnd"/>
      <w:r>
        <w:t xml:space="preserve"> injected animals.</w:t>
      </w:r>
    </w:p>
    <w:p w14:paraId="232ADEA3" w14:textId="77777777" w:rsidR="001B6ABB" w:rsidRDefault="00000000">
      <w:pPr>
        <w:pStyle w:val="Heading1"/>
        <w:ind w:left="100"/>
      </w:pPr>
      <w:r>
        <w:rPr>
          <w:spacing w:val="-2"/>
        </w:rPr>
        <w:t>REFERENCES</w:t>
      </w:r>
    </w:p>
    <w:p w14:paraId="3EABC890" w14:textId="77777777" w:rsidR="001B6ABB" w:rsidRDefault="00000000">
      <w:pPr>
        <w:pStyle w:val="ListParagraph"/>
        <w:numPr>
          <w:ilvl w:val="0"/>
          <w:numId w:val="1"/>
        </w:numPr>
        <w:tabs>
          <w:tab w:val="left" w:pos="522"/>
        </w:tabs>
        <w:spacing w:before="154"/>
        <w:ind w:right="41" w:firstLine="0"/>
        <w:jc w:val="both"/>
        <w:rPr>
          <w:sz w:val="20"/>
        </w:rPr>
      </w:pPr>
      <w:r>
        <w:rPr>
          <w:sz w:val="20"/>
        </w:rPr>
        <w:t xml:space="preserve">Panza F, </w:t>
      </w:r>
      <w:proofErr w:type="spellStart"/>
      <w:r>
        <w:rPr>
          <w:sz w:val="20"/>
        </w:rPr>
        <w:t>D’Introno</w:t>
      </w:r>
      <w:proofErr w:type="spellEnd"/>
      <w:r>
        <w:rPr>
          <w:sz w:val="20"/>
        </w:rPr>
        <w:t xml:space="preserve"> A, Colacicco A, et al. Cognitive frailty: Predementia syndrome and vascular risk factors.</w:t>
      </w:r>
    </w:p>
    <w:p w14:paraId="5F3A22BD" w14:textId="77777777" w:rsidR="001B6ABB" w:rsidRDefault="00000000">
      <w:pPr>
        <w:pStyle w:val="ListParagraph"/>
        <w:numPr>
          <w:ilvl w:val="0"/>
          <w:numId w:val="1"/>
        </w:numPr>
        <w:tabs>
          <w:tab w:val="left" w:pos="575"/>
        </w:tabs>
        <w:spacing w:before="0"/>
        <w:ind w:firstLine="0"/>
        <w:jc w:val="both"/>
        <w:rPr>
          <w:sz w:val="20"/>
        </w:rPr>
      </w:pPr>
      <w:proofErr w:type="spellStart"/>
      <w:r>
        <w:rPr>
          <w:sz w:val="20"/>
        </w:rPr>
        <w:t>Neurobiol</w:t>
      </w:r>
      <w:proofErr w:type="spellEnd"/>
      <w:r>
        <w:rPr>
          <w:sz w:val="20"/>
        </w:rPr>
        <w:t xml:space="preserve"> Aging 2006;27: 933–40 2.</w:t>
      </w:r>
      <w:r>
        <w:rPr>
          <w:spacing w:val="40"/>
          <w:sz w:val="20"/>
        </w:rPr>
        <w:t xml:space="preserve"> </w:t>
      </w:r>
      <w:r>
        <w:rPr>
          <w:sz w:val="20"/>
        </w:rPr>
        <w:t>Petersen RC, Doody R, Kurz A, et al. Current concepts in mild cognitive impairment. Arch</w:t>
      </w:r>
      <w:r>
        <w:rPr>
          <w:spacing w:val="40"/>
          <w:sz w:val="20"/>
        </w:rPr>
        <w:t xml:space="preserve"> </w:t>
      </w:r>
      <w:r>
        <w:rPr>
          <w:sz w:val="20"/>
        </w:rPr>
        <w:t xml:space="preserve">Neurol </w:t>
      </w:r>
      <w:proofErr w:type="gramStart"/>
      <w:r>
        <w:rPr>
          <w:sz w:val="20"/>
        </w:rPr>
        <w:t>2001;58:1985</w:t>
      </w:r>
      <w:proofErr w:type="gramEnd"/>
      <w:r>
        <w:rPr>
          <w:sz w:val="20"/>
        </w:rPr>
        <w:t>–92</w:t>
      </w:r>
    </w:p>
    <w:p w14:paraId="5453921D" w14:textId="77777777" w:rsidR="001B6ABB" w:rsidRDefault="00000000">
      <w:pPr>
        <w:pStyle w:val="ListParagraph"/>
        <w:numPr>
          <w:ilvl w:val="0"/>
          <w:numId w:val="1"/>
        </w:numPr>
        <w:tabs>
          <w:tab w:val="left" w:pos="522"/>
        </w:tabs>
        <w:spacing w:before="0"/>
        <w:ind w:right="39" w:firstLine="0"/>
        <w:jc w:val="both"/>
        <w:rPr>
          <w:sz w:val="20"/>
        </w:rPr>
      </w:pPr>
      <w:proofErr w:type="spellStart"/>
      <w:r>
        <w:rPr>
          <w:sz w:val="20"/>
        </w:rPr>
        <w:t>Selkoe</w:t>
      </w:r>
      <w:proofErr w:type="spellEnd"/>
      <w:r>
        <w:rPr>
          <w:sz w:val="20"/>
        </w:rPr>
        <w:t xml:space="preserve"> DJ. Translating cell biology into therapeutic advances in Alzheimer’s disease.</w:t>
      </w:r>
      <w:r>
        <w:rPr>
          <w:spacing w:val="40"/>
          <w:sz w:val="20"/>
        </w:rPr>
        <w:t xml:space="preserve"> </w:t>
      </w:r>
      <w:r>
        <w:rPr>
          <w:sz w:val="20"/>
        </w:rPr>
        <w:t>Nature 1999;399(Suppl</w:t>
      </w:r>
      <w:proofErr w:type="gramStart"/>
      <w:r>
        <w:rPr>
          <w:sz w:val="20"/>
        </w:rPr>
        <w:t>):A</w:t>
      </w:r>
      <w:proofErr w:type="gramEnd"/>
      <w:r>
        <w:rPr>
          <w:sz w:val="20"/>
        </w:rPr>
        <w:t>23–31</w:t>
      </w:r>
    </w:p>
    <w:p w14:paraId="25193A21" w14:textId="77777777" w:rsidR="001B6ABB" w:rsidRDefault="00000000">
      <w:pPr>
        <w:pStyle w:val="ListParagraph"/>
        <w:numPr>
          <w:ilvl w:val="0"/>
          <w:numId w:val="1"/>
        </w:numPr>
        <w:tabs>
          <w:tab w:val="left" w:pos="522"/>
        </w:tabs>
        <w:spacing w:before="0"/>
        <w:ind w:right="44" w:firstLine="0"/>
        <w:jc w:val="both"/>
        <w:rPr>
          <w:sz w:val="20"/>
        </w:rPr>
      </w:pPr>
      <w:r>
        <w:rPr>
          <w:sz w:val="20"/>
        </w:rPr>
        <w:t xml:space="preserve">Henderson VW. Menopause and disorders of the central nervous system. Minerva </w:t>
      </w:r>
      <w:proofErr w:type="spellStart"/>
      <w:r>
        <w:rPr>
          <w:sz w:val="20"/>
        </w:rPr>
        <w:t>Ginecol</w:t>
      </w:r>
      <w:proofErr w:type="spellEnd"/>
      <w:r>
        <w:rPr>
          <w:sz w:val="20"/>
        </w:rPr>
        <w:t xml:space="preserve"> 2005; </w:t>
      </w:r>
      <w:r>
        <w:rPr>
          <w:spacing w:val="-2"/>
          <w:sz w:val="20"/>
        </w:rPr>
        <w:t>57:579–92</w:t>
      </w:r>
    </w:p>
    <w:p w14:paraId="53D7C46D" w14:textId="77777777" w:rsidR="001B6ABB" w:rsidRDefault="00000000">
      <w:pPr>
        <w:pStyle w:val="ListParagraph"/>
        <w:numPr>
          <w:ilvl w:val="0"/>
          <w:numId w:val="1"/>
        </w:numPr>
        <w:tabs>
          <w:tab w:val="left" w:pos="522"/>
        </w:tabs>
        <w:spacing w:before="1"/>
        <w:ind w:left="522" w:right="0" w:hanging="422"/>
        <w:jc w:val="both"/>
        <w:rPr>
          <w:sz w:val="20"/>
        </w:rPr>
      </w:pPr>
      <w:r>
        <w:rPr>
          <w:sz w:val="20"/>
        </w:rPr>
        <w:t>Cholerton</w:t>
      </w:r>
      <w:r>
        <w:rPr>
          <w:spacing w:val="3"/>
          <w:sz w:val="20"/>
        </w:rPr>
        <w:t xml:space="preserve"> </w:t>
      </w:r>
      <w:r>
        <w:rPr>
          <w:sz w:val="20"/>
        </w:rPr>
        <w:t>B,</w:t>
      </w:r>
      <w:r>
        <w:rPr>
          <w:spacing w:val="1"/>
          <w:sz w:val="20"/>
        </w:rPr>
        <w:t xml:space="preserve"> </w:t>
      </w:r>
      <w:r>
        <w:rPr>
          <w:sz w:val="20"/>
        </w:rPr>
        <w:t>Gleason</w:t>
      </w:r>
      <w:r>
        <w:rPr>
          <w:spacing w:val="3"/>
          <w:sz w:val="20"/>
        </w:rPr>
        <w:t xml:space="preserve"> </w:t>
      </w:r>
      <w:r>
        <w:rPr>
          <w:sz w:val="20"/>
        </w:rPr>
        <w:t>CE,</w:t>
      </w:r>
      <w:r>
        <w:rPr>
          <w:spacing w:val="1"/>
          <w:sz w:val="20"/>
        </w:rPr>
        <w:t xml:space="preserve"> </w:t>
      </w:r>
      <w:r>
        <w:rPr>
          <w:sz w:val="20"/>
        </w:rPr>
        <w:t>Baker</w:t>
      </w:r>
      <w:r>
        <w:rPr>
          <w:spacing w:val="3"/>
          <w:sz w:val="20"/>
        </w:rPr>
        <w:t xml:space="preserve"> </w:t>
      </w:r>
      <w:r>
        <w:rPr>
          <w:sz w:val="20"/>
        </w:rPr>
        <w:t>LD,</w:t>
      </w:r>
      <w:r>
        <w:rPr>
          <w:spacing w:val="1"/>
          <w:sz w:val="20"/>
        </w:rPr>
        <w:t xml:space="preserve"> </w:t>
      </w:r>
      <w:r>
        <w:rPr>
          <w:spacing w:val="-2"/>
          <w:sz w:val="20"/>
        </w:rPr>
        <w:t>Asthana</w:t>
      </w:r>
    </w:p>
    <w:p w14:paraId="17976B88" w14:textId="77777777" w:rsidR="001B6ABB" w:rsidRDefault="00000000">
      <w:pPr>
        <w:pStyle w:val="BodyText"/>
        <w:spacing w:before="5" w:line="235" w:lineRule="auto"/>
        <w:ind w:right="49"/>
      </w:pPr>
      <w:r>
        <w:t xml:space="preserve">S. Estrogen and Alzheimer’s disease: the story so far. Drugs Aging </w:t>
      </w:r>
      <w:proofErr w:type="gramStart"/>
      <w:r>
        <w:t>2002;19:405</w:t>
      </w:r>
      <w:proofErr w:type="gramEnd"/>
      <w:r>
        <w:t>–27</w:t>
      </w:r>
    </w:p>
    <w:p w14:paraId="27050365" w14:textId="77777777" w:rsidR="001B6ABB" w:rsidRDefault="00000000">
      <w:pPr>
        <w:pStyle w:val="ListParagraph"/>
        <w:numPr>
          <w:ilvl w:val="0"/>
          <w:numId w:val="1"/>
        </w:numPr>
        <w:tabs>
          <w:tab w:val="left" w:pos="522"/>
        </w:tabs>
        <w:spacing w:before="1"/>
        <w:ind w:right="39" w:firstLine="0"/>
        <w:jc w:val="both"/>
        <w:rPr>
          <w:sz w:val="20"/>
        </w:rPr>
      </w:pPr>
      <w:r>
        <w:rPr>
          <w:sz w:val="20"/>
        </w:rPr>
        <w:t xml:space="preserve">Bimonte-Nelson HA, Francis KR, </w:t>
      </w:r>
      <w:proofErr w:type="spellStart"/>
      <w:r>
        <w:rPr>
          <w:sz w:val="20"/>
        </w:rPr>
        <w:t>Umphlet</w:t>
      </w:r>
      <w:proofErr w:type="spellEnd"/>
      <w:r>
        <w:rPr>
          <w:sz w:val="20"/>
        </w:rPr>
        <w:t xml:space="preserve"> CD, Granholm AC. Progesterone reverses the spatial memory enhancements initiated by tonic</w:t>
      </w:r>
      <w:r>
        <w:rPr>
          <w:spacing w:val="80"/>
          <w:sz w:val="20"/>
        </w:rPr>
        <w:t xml:space="preserve"> </w:t>
      </w:r>
      <w:r>
        <w:rPr>
          <w:sz w:val="20"/>
        </w:rPr>
        <w:t xml:space="preserve">and cyclic </w:t>
      </w:r>
      <w:proofErr w:type="spellStart"/>
      <w:r>
        <w:rPr>
          <w:sz w:val="20"/>
        </w:rPr>
        <w:t>oestrogen</w:t>
      </w:r>
      <w:proofErr w:type="spellEnd"/>
      <w:r>
        <w:rPr>
          <w:sz w:val="20"/>
        </w:rPr>
        <w:t xml:space="preserve"> therapy in middle-aged </w:t>
      </w:r>
      <w:proofErr w:type="spellStart"/>
      <w:r>
        <w:rPr>
          <w:sz w:val="20"/>
        </w:rPr>
        <w:t>ovar</w:t>
      </w:r>
      <w:proofErr w:type="spellEnd"/>
      <w:r>
        <w:rPr>
          <w:sz w:val="20"/>
        </w:rPr>
        <w:t xml:space="preserve"> </w:t>
      </w:r>
      <w:proofErr w:type="spellStart"/>
      <w:r>
        <w:rPr>
          <w:sz w:val="20"/>
        </w:rPr>
        <w:t>iectomized</w:t>
      </w:r>
      <w:proofErr w:type="spellEnd"/>
      <w:r>
        <w:rPr>
          <w:sz w:val="20"/>
        </w:rPr>
        <w:t xml:space="preserve"> </w:t>
      </w:r>
      <w:proofErr w:type="spellStart"/>
      <w:r>
        <w:rPr>
          <w:sz w:val="20"/>
        </w:rPr>
        <w:t>femali</w:t>
      </w:r>
      <w:proofErr w:type="spellEnd"/>
      <w:r>
        <w:rPr>
          <w:sz w:val="20"/>
        </w:rPr>
        <w:t xml:space="preserve"> rats. </w:t>
      </w:r>
      <w:proofErr w:type="spellStart"/>
      <w:r>
        <w:rPr>
          <w:sz w:val="20"/>
        </w:rPr>
        <w:t>Eur</w:t>
      </w:r>
      <w:proofErr w:type="spellEnd"/>
      <w:r>
        <w:rPr>
          <w:sz w:val="20"/>
        </w:rPr>
        <w:t xml:space="preserve"> J </w:t>
      </w:r>
      <w:proofErr w:type="spellStart"/>
      <w:r>
        <w:rPr>
          <w:sz w:val="20"/>
        </w:rPr>
        <w:t>Neurosci</w:t>
      </w:r>
      <w:proofErr w:type="spellEnd"/>
      <w:r>
        <w:rPr>
          <w:sz w:val="20"/>
        </w:rPr>
        <w:t xml:space="preserve"> 2006;24: </w:t>
      </w:r>
      <w:r>
        <w:rPr>
          <w:spacing w:val="-2"/>
          <w:sz w:val="20"/>
        </w:rPr>
        <w:t>229–42</w:t>
      </w:r>
    </w:p>
    <w:p w14:paraId="065FFC02" w14:textId="77777777" w:rsidR="001B6ABB" w:rsidRDefault="00000000">
      <w:pPr>
        <w:pStyle w:val="ListParagraph"/>
        <w:numPr>
          <w:ilvl w:val="0"/>
          <w:numId w:val="1"/>
        </w:numPr>
        <w:tabs>
          <w:tab w:val="left" w:pos="522"/>
        </w:tabs>
        <w:spacing w:before="3"/>
        <w:ind w:right="40" w:firstLine="0"/>
        <w:jc w:val="both"/>
        <w:rPr>
          <w:sz w:val="20"/>
        </w:rPr>
      </w:pPr>
      <w:r>
        <w:rPr>
          <w:sz w:val="20"/>
        </w:rPr>
        <w:t xml:space="preserve">Daniel JM, Hulst JL, </w:t>
      </w:r>
      <w:proofErr w:type="spellStart"/>
      <w:r>
        <w:rPr>
          <w:sz w:val="20"/>
        </w:rPr>
        <w:t>Berbling</w:t>
      </w:r>
      <w:proofErr w:type="spellEnd"/>
      <w:r>
        <w:rPr>
          <w:sz w:val="20"/>
        </w:rPr>
        <w:t xml:space="preserve"> JL. Estradiol replacement enhances working memory</w:t>
      </w:r>
      <w:r>
        <w:rPr>
          <w:spacing w:val="-5"/>
          <w:sz w:val="20"/>
        </w:rPr>
        <w:t xml:space="preserve"> </w:t>
      </w:r>
      <w:r>
        <w:rPr>
          <w:sz w:val="20"/>
        </w:rPr>
        <w:t xml:space="preserve">in mid </w:t>
      </w:r>
      <w:proofErr w:type="spellStart"/>
      <w:r>
        <w:rPr>
          <w:sz w:val="20"/>
        </w:rPr>
        <w:t>dle</w:t>
      </w:r>
      <w:proofErr w:type="spellEnd"/>
      <w:r>
        <w:rPr>
          <w:sz w:val="20"/>
        </w:rPr>
        <w:t xml:space="preserve">- </w:t>
      </w:r>
      <w:proofErr w:type="gramStart"/>
      <w:r>
        <w:rPr>
          <w:sz w:val="20"/>
        </w:rPr>
        <w:t>aged</w:t>
      </w:r>
      <w:r>
        <w:rPr>
          <w:spacing w:val="50"/>
          <w:sz w:val="20"/>
        </w:rPr>
        <w:t xml:space="preserve">  </w:t>
      </w:r>
      <w:r>
        <w:rPr>
          <w:sz w:val="20"/>
        </w:rPr>
        <w:t>rats</w:t>
      </w:r>
      <w:proofErr w:type="gramEnd"/>
      <w:r>
        <w:rPr>
          <w:spacing w:val="49"/>
          <w:sz w:val="20"/>
        </w:rPr>
        <w:t xml:space="preserve">  </w:t>
      </w:r>
      <w:r>
        <w:rPr>
          <w:sz w:val="20"/>
        </w:rPr>
        <w:t>when</w:t>
      </w:r>
      <w:r>
        <w:rPr>
          <w:spacing w:val="50"/>
          <w:sz w:val="20"/>
        </w:rPr>
        <w:t xml:space="preserve">  </w:t>
      </w:r>
      <w:r>
        <w:rPr>
          <w:sz w:val="20"/>
        </w:rPr>
        <w:t>initiated</w:t>
      </w:r>
      <w:r>
        <w:rPr>
          <w:spacing w:val="50"/>
          <w:sz w:val="20"/>
        </w:rPr>
        <w:t xml:space="preserve">  </w:t>
      </w:r>
      <w:r>
        <w:rPr>
          <w:sz w:val="20"/>
        </w:rPr>
        <w:t>immediately</w:t>
      </w:r>
      <w:r>
        <w:rPr>
          <w:spacing w:val="48"/>
          <w:sz w:val="20"/>
        </w:rPr>
        <w:t xml:space="preserve">  </w:t>
      </w:r>
      <w:r>
        <w:rPr>
          <w:spacing w:val="-4"/>
          <w:sz w:val="20"/>
        </w:rPr>
        <w:t>after</w:t>
      </w:r>
    </w:p>
    <w:p w14:paraId="2B5382B0" w14:textId="77777777" w:rsidR="001B6ABB" w:rsidRDefault="00000000">
      <w:pPr>
        <w:pStyle w:val="BodyText"/>
        <w:spacing w:before="83"/>
        <w:ind w:right="114"/>
      </w:pPr>
      <w:r>
        <w:br w:type="column"/>
      </w:r>
      <w:r>
        <w:t xml:space="preserve">ovariectomy but not after a long-term period of ovarian hormone deprivation. Endocrinology </w:t>
      </w:r>
      <w:proofErr w:type="gramStart"/>
      <w:r>
        <w:rPr>
          <w:spacing w:val="-2"/>
        </w:rPr>
        <w:t>2006;147:607</w:t>
      </w:r>
      <w:proofErr w:type="gramEnd"/>
      <w:r>
        <w:rPr>
          <w:spacing w:val="-2"/>
        </w:rPr>
        <w:t>–14</w:t>
      </w:r>
    </w:p>
    <w:p w14:paraId="3DC968FD" w14:textId="77777777" w:rsidR="001B6ABB" w:rsidRDefault="00000000">
      <w:pPr>
        <w:pStyle w:val="ListParagraph"/>
        <w:numPr>
          <w:ilvl w:val="0"/>
          <w:numId w:val="1"/>
        </w:numPr>
        <w:tabs>
          <w:tab w:val="left" w:pos="522"/>
        </w:tabs>
        <w:spacing w:before="1"/>
        <w:ind w:left="522" w:right="0" w:hanging="422"/>
        <w:jc w:val="both"/>
        <w:rPr>
          <w:sz w:val="20"/>
        </w:rPr>
      </w:pPr>
      <w:proofErr w:type="spellStart"/>
      <w:r>
        <w:rPr>
          <w:sz w:val="20"/>
        </w:rPr>
        <w:t>Hogervorst</w:t>
      </w:r>
      <w:proofErr w:type="spellEnd"/>
      <w:r>
        <w:rPr>
          <w:spacing w:val="16"/>
          <w:sz w:val="20"/>
        </w:rPr>
        <w:t xml:space="preserve"> </w:t>
      </w:r>
      <w:r>
        <w:rPr>
          <w:sz w:val="20"/>
        </w:rPr>
        <w:t>E,</w:t>
      </w:r>
      <w:r>
        <w:rPr>
          <w:spacing w:val="16"/>
          <w:sz w:val="20"/>
        </w:rPr>
        <w:t xml:space="preserve"> </w:t>
      </w:r>
      <w:r>
        <w:rPr>
          <w:sz w:val="20"/>
        </w:rPr>
        <w:t>Yaffe</w:t>
      </w:r>
      <w:r>
        <w:rPr>
          <w:spacing w:val="12"/>
          <w:sz w:val="20"/>
        </w:rPr>
        <w:t xml:space="preserve"> </w:t>
      </w:r>
      <w:r>
        <w:rPr>
          <w:sz w:val="20"/>
        </w:rPr>
        <w:t>K,</w:t>
      </w:r>
      <w:r>
        <w:rPr>
          <w:spacing w:val="17"/>
          <w:sz w:val="20"/>
        </w:rPr>
        <w:t xml:space="preserve"> </w:t>
      </w:r>
      <w:r>
        <w:rPr>
          <w:sz w:val="20"/>
        </w:rPr>
        <w:t>Richards</w:t>
      </w:r>
      <w:r>
        <w:rPr>
          <w:spacing w:val="14"/>
          <w:sz w:val="20"/>
        </w:rPr>
        <w:t xml:space="preserve"> </w:t>
      </w:r>
      <w:r>
        <w:rPr>
          <w:sz w:val="20"/>
        </w:rPr>
        <w:t>M,</w:t>
      </w:r>
      <w:r>
        <w:rPr>
          <w:spacing w:val="13"/>
          <w:sz w:val="20"/>
        </w:rPr>
        <w:t xml:space="preserve"> </w:t>
      </w:r>
      <w:r>
        <w:rPr>
          <w:spacing w:val="-2"/>
          <w:sz w:val="20"/>
        </w:rPr>
        <w:t>Huppert</w:t>
      </w:r>
    </w:p>
    <w:p w14:paraId="72CD7D96" w14:textId="77777777" w:rsidR="001B6ABB" w:rsidRDefault="00000000">
      <w:pPr>
        <w:pStyle w:val="BodyText"/>
        <w:spacing w:before="1"/>
        <w:ind w:right="110"/>
      </w:pPr>
      <w:r>
        <w:t>F. Hormone replacement therapy for cognitive function in postmenopausal women. Cochrane Database Syst Rev 2002;3:CD003122</w:t>
      </w:r>
    </w:p>
    <w:p w14:paraId="5057CEDD" w14:textId="77777777" w:rsidR="001B6ABB" w:rsidRDefault="00000000">
      <w:pPr>
        <w:pStyle w:val="ListParagraph"/>
        <w:numPr>
          <w:ilvl w:val="0"/>
          <w:numId w:val="1"/>
        </w:numPr>
        <w:tabs>
          <w:tab w:val="left" w:pos="522"/>
        </w:tabs>
        <w:spacing w:before="3" w:line="237" w:lineRule="auto"/>
        <w:ind w:right="109" w:firstLine="0"/>
        <w:jc w:val="both"/>
        <w:rPr>
          <w:sz w:val="20"/>
        </w:rPr>
      </w:pPr>
      <w:r>
        <w:rPr>
          <w:sz w:val="20"/>
        </w:rPr>
        <w:t xml:space="preserve">Kurt M, </w:t>
      </w:r>
      <w:proofErr w:type="spellStart"/>
      <w:r>
        <w:rPr>
          <w:sz w:val="20"/>
        </w:rPr>
        <w:t>Bekci</w:t>
      </w:r>
      <w:proofErr w:type="spellEnd"/>
      <w:r>
        <w:rPr>
          <w:sz w:val="20"/>
        </w:rPr>
        <w:t xml:space="preserve"> B, Karakas S. Hormone</w:t>
      </w:r>
      <w:r>
        <w:rPr>
          <w:spacing w:val="80"/>
          <w:sz w:val="20"/>
        </w:rPr>
        <w:t xml:space="preserve"> </w:t>
      </w:r>
      <w:r>
        <w:rPr>
          <w:sz w:val="20"/>
        </w:rPr>
        <w:t xml:space="preserve">replace </w:t>
      </w:r>
      <w:proofErr w:type="spellStart"/>
      <w:r>
        <w:rPr>
          <w:sz w:val="20"/>
        </w:rPr>
        <w:t>ment</w:t>
      </w:r>
      <w:proofErr w:type="spellEnd"/>
      <w:r>
        <w:rPr>
          <w:sz w:val="20"/>
        </w:rPr>
        <w:t xml:space="preserve"> therapy and cognition in postmenopausal women. </w:t>
      </w:r>
      <w:proofErr w:type="spellStart"/>
      <w:r>
        <w:rPr>
          <w:sz w:val="20"/>
        </w:rPr>
        <w:t>Maturitas</w:t>
      </w:r>
      <w:proofErr w:type="spellEnd"/>
      <w:r>
        <w:rPr>
          <w:sz w:val="20"/>
        </w:rPr>
        <w:t xml:space="preserve"> </w:t>
      </w:r>
      <w:proofErr w:type="gramStart"/>
      <w:r>
        <w:rPr>
          <w:sz w:val="20"/>
        </w:rPr>
        <w:t>2006;53:39</w:t>
      </w:r>
      <w:proofErr w:type="gramEnd"/>
      <w:r>
        <w:rPr>
          <w:sz w:val="20"/>
        </w:rPr>
        <w:t>–48</w:t>
      </w:r>
    </w:p>
    <w:p w14:paraId="53A7D95D" w14:textId="77777777" w:rsidR="001B6ABB" w:rsidRDefault="00000000">
      <w:pPr>
        <w:pStyle w:val="ListParagraph"/>
        <w:numPr>
          <w:ilvl w:val="0"/>
          <w:numId w:val="1"/>
        </w:numPr>
        <w:tabs>
          <w:tab w:val="left" w:pos="522"/>
        </w:tabs>
        <w:spacing w:before="2"/>
        <w:ind w:right="107" w:firstLine="0"/>
        <w:jc w:val="both"/>
        <w:rPr>
          <w:sz w:val="20"/>
        </w:rPr>
      </w:pPr>
      <w:r>
        <w:rPr>
          <w:sz w:val="20"/>
        </w:rPr>
        <w:t xml:space="preserve">Low IF, </w:t>
      </w:r>
      <w:proofErr w:type="spellStart"/>
      <w:r>
        <w:rPr>
          <w:sz w:val="20"/>
        </w:rPr>
        <w:t>Anstev</w:t>
      </w:r>
      <w:proofErr w:type="spellEnd"/>
      <w:r>
        <w:rPr>
          <w:sz w:val="20"/>
        </w:rPr>
        <w:t xml:space="preserve"> KJ. Hormone replacement therapy and cognitive performance in </w:t>
      </w:r>
      <w:proofErr w:type="spellStart"/>
      <w:r>
        <w:rPr>
          <w:sz w:val="20"/>
        </w:rPr>
        <w:t>postme</w:t>
      </w:r>
      <w:proofErr w:type="spellEnd"/>
      <w:r>
        <w:rPr>
          <w:sz w:val="20"/>
        </w:rPr>
        <w:t xml:space="preserve"> </w:t>
      </w:r>
      <w:proofErr w:type="spellStart"/>
      <w:r>
        <w:rPr>
          <w:sz w:val="20"/>
        </w:rPr>
        <w:t>nopausal</w:t>
      </w:r>
      <w:proofErr w:type="spellEnd"/>
      <w:r>
        <w:rPr>
          <w:sz w:val="20"/>
        </w:rPr>
        <w:t xml:space="preserve"> women– a review by cognitive domain. </w:t>
      </w:r>
      <w:proofErr w:type="spellStart"/>
      <w:r>
        <w:rPr>
          <w:sz w:val="20"/>
        </w:rPr>
        <w:t>Neurosci</w:t>
      </w:r>
      <w:proofErr w:type="spellEnd"/>
      <w:r>
        <w:rPr>
          <w:sz w:val="20"/>
        </w:rPr>
        <w:t xml:space="preserve"> </w:t>
      </w:r>
      <w:proofErr w:type="gramStart"/>
      <w:r>
        <w:rPr>
          <w:sz w:val="20"/>
        </w:rPr>
        <w:t>2006;30:66</w:t>
      </w:r>
      <w:proofErr w:type="gramEnd"/>
      <w:r>
        <w:rPr>
          <w:sz w:val="20"/>
        </w:rPr>
        <w:t>–84.</w:t>
      </w:r>
    </w:p>
    <w:p w14:paraId="694A9FE5" w14:textId="77777777" w:rsidR="001B6ABB" w:rsidRDefault="00000000">
      <w:pPr>
        <w:pStyle w:val="ListParagraph"/>
        <w:numPr>
          <w:ilvl w:val="0"/>
          <w:numId w:val="1"/>
        </w:numPr>
        <w:tabs>
          <w:tab w:val="left" w:pos="522"/>
        </w:tabs>
        <w:spacing w:before="203"/>
        <w:ind w:right="110" w:firstLine="0"/>
        <w:jc w:val="both"/>
        <w:rPr>
          <w:sz w:val="20"/>
        </w:rPr>
      </w:pPr>
      <w:r>
        <w:rPr>
          <w:sz w:val="20"/>
        </w:rPr>
        <w:t>Benedetti</w:t>
      </w:r>
      <w:r>
        <w:rPr>
          <w:spacing w:val="-3"/>
          <w:sz w:val="20"/>
        </w:rPr>
        <w:t xml:space="preserve"> </w:t>
      </w:r>
      <w:r>
        <w:rPr>
          <w:sz w:val="20"/>
        </w:rPr>
        <w:t>MD,</w:t>
      </w:r>
      <w:r>
        <w:rPr>
          <w:spacing w:val="-3"/>
          <w:sz w:val="20"/>
        </w:rPr>
        <w:t xml:space="preserve"> </w:t>
      </w:r>
      <w:proofErr w:type="spellStart"/>
      <w:r>
        <w:rPr>
          <w:sz w:val="20"/>
        </w:rPr>
        <w:t>Maraganore</w:t>
      </w:r>
      <w:proofErr w:type="spellEnd"/>
      <w:r>
        <w:rPr>
          <w:spacing w:val="-8"/>
          <w:sz w:val="20"/>
        </w:rPr>
        <w:t xml:space="preserve"> </w:t>
      </w:r>
      <w:r>
        <w:rPr>
          <w:sz w:val="20"/>
        </w:rPr>
        <w:t>DM,</w:t>
      </w:r>
      <w:r>
        <w:rPr>
          <w:spacing w:val="-3"/>
          <w:sz w:val="20"/>
        </w:rPr>
        <w:t xml:space="preserve"> </w:t>
      </w:r>
      <w:r>
        <w:rPr>
          <w:sz w:val="20"/>
        </w:rPr>
        <w:t>Bower</w:t>
      </w:r>
      <w:r>
        <w:rPr>
          <w:spacing w:val="-1"/>
          <w:sz w:val="20"/>
        </w:rPr>
        <w:t xml:space="preserve"> </w:t>
      </w:r>
      <w:r>
        <w:rPr>
          <w:sz w:val="20"/>
        </w:rPr>
        <w:t>JH,</w:t>
      </w:r>
      <w:r>
        <w:rPr>
          <w:spacing w:val="-3"/>
          <w:sz w:val="20"/>
        </w:rPr>
        <w:t xml:space="preserve"> </w:t>
      </w:r>
      <w:r>
        <w:rPr>
          <w:sz w:val="20"/>
        </w:rPr>
        <w:t>et al. Hysterectomy, menopause, and estrogen use preceding Parkinson’s disease: An exploratory</w:t>
      </w:r>
      <w:r>
        <w:rPr>
          <w:spacing w:val="40"/>
          <w:sz w:val="20"/>
        </w:rPr>
        <w:t xml:space="preserve"> </w:t>
      </w:r>
      <w:r>
        <w:rPr>
          <w:sz w:val="20"/>
        </w:rPr>
        <w:t>case-control</w:t>
      </w:r>
      <w:r>
        <w:rPr>
          <w:spacing w:val="-8"/>
          <w:sz w:val="20"/>
        </w:rPr>
        <w:t xml:space="preserve"> </w:t>
      </w:r>
      <w:r>
        <w:rPr>
          <w:sz w:val="20"/>
        </w:rPr>
        <w:t>study.</w:t>
      </w:r>
      <w:r>
        <w:rPr>
          <w:spacing w:val="-7"/>
          <w:sz w:val="20"/>
        </w:rPr>
        <w:t xml:space="preserve"> </w:t>
      </w:r>
      <w:r>
        <w:rPr>
          <w:sz w:val="20"/>
        </w:rPr>
        <w:t>Mov.</w:t>
      </w:r>
      <w:r>
        <w:rPr>
          <w:spacing w:val="-7"/>
          <w:sz w:val="20"/>
        </w:rPr>
        <w:t xml:space="preserve"> </w:t>
      </w:r>
      <w:proofErr w:type="spellStart"/>
      <w:r>
        <w:rPr>
          <w:sz w:val="20"/>
        </w:rPr>
        <w:t>Disord</w:t>
      </w:r>
      <w:proofErr w:type="spellEnd"/>
      <w:r>
        <w:rPr>
          <w:sz w:val="20"/>
        </w:rPr>
        <w:t>.</w:t>
      </w:r>
      <w:r>
        <w:rPr>
          <w:spacing w:val="-7"/>
          <w:sz w:val="20"/>
        </w:rPr>
        <w:t xml:space="preserve"> </w:t>
      </w:r>
      <w:proofErr w:type="gramStart"/>
      <w:r>
        <w:rPr>
          <w:spacing w:val="-2"/>
          <w:sz w:val="20"/>
        </w:rPr>
        <w:t>2001;16:830</w:t>
      </w:r>
      <w:proofErr w:type="gramEnd"/>
      <w:r>
        <w:rPr>
          <w:spacing w:val="-2"/>
          <w:sz w:val="20"/>
        </w:rPr>
        <w:t>–837.</w:t>
      </w:r>
    </w:p>
    <w:p w14:paraId="6EE50F99" w14:textId="77777777" w:rsidR="001B6ABB" w:rsidRDefault="00000000">
      <w:pPr>
        <w:pStyle w:val="ListParagraph"/>
        <w:numPr>
          <w:ilvl w:val="0"/>
          <w:numId w:val="1"/>
        </w:numPr>
        <w:tabs>
          <w:tab w:val="left" w:pos="522"/>
        </w:tabs>
        <w:spacing w:before="163" w:line="237" w:lineRule="auto"/>
        <w:ind w:right="115" w:firstLine="0"/>
        <w:jc w:val="both"/>
        <w:rPr>
          <w:sz w:val="20"/>
        </w:rPr>
      </w:pPr>
      <w:proofErr w:type="spellStart"/>
      <w:r>
        <w:rPr>
          <w:sz w:val="20"/>
        </w:rPr>
        <w:t>Lv</w:t>
      </w:r>
      <w:proofErr w:type="spellEnd"/>
      <w:r>
        <w:rPr>
          <w:sz w:val="20"/>
        </w:rPr>
        <w:t xml:space="preserve"> M, Zhang Y, Chen G, et al. Reproductive factors and risk of Parkinson’s disease in women:</w:t>
      </w:r>
      <w:r>
        <w:rPr>
          <w:spacing w:val="80"/>
          <w:sz w:val="20"/>
        </w:rPr>
        <w:t xml:space="preserve"> </w:t>
      </w:r>
      <w:r>
        <w:rPr>
          <w:sz w:val="20"/>
        </w:rPr>
        <w:t xml:space="preserve">A meta-analysis of observational studies. </w:t>
      </w:r>
      <w:proofErr w:type="spellStart"/>
      <w:r>
        <w:rPr>
          <w:sz w:val="20"/>
        </w:rPr>
        <w:t>Behav</w:t>
      </w:r>
      <w:proofErr w:type="spellEnd"/>
      <w:r>
        <w:rPr>
          <w:sz w:val="20"/>
        </w:rPr>
        <w:t xml:space="preserve">. Brain Res. </w:t>
      </w:r>
      <w:proofErr w:type="gramStart"/>
      <w:r>
        <w:rPr>
          <w:sz w:val="20"/>
        </w:rPr>
        <w:t>2017;335:103</w:t>
      </w:r>
      <w:proofErr w:type="gramEnd"/>
      <w:r>
        <w:rPr>
          <w:sz w:val="20"/>
        </w:rPr>
        <w:t>–110.</w:t>
      </w:r>
    </w:p>
    <w:p w14:paraId="649440A3" w14:textId="77777777" w:rsidR="001B6ABB" w:rsidRDefault="00000000">
      <w:pPr>
        <w:pStyle w:val="ListParagraph"/>
        <w:numPr>
          <w:ilvl w:val="0"/>
          <w:numId w:val="1"/>
        </w:numPr>
        <w:tabs>
          <w:tab w:val="left" w:pos="522"/>
        </w:tabs>
        <w:spacing w:before="169" w:line="237" w:lineRule="auto"/>
        <w:ind w:right="107" w:firstLine="0"/>
        <w:jc w:val="both"/>
        <w:rPr>
          <w:sz w:val="20"/>
        </w:rPr>
      </w:pPr>
      <w:r>
        <w:rPr>
          <w:sz w:val="20"/>
        </w:rPr>
        <w:t xml:space="preserve">Liu R, Baird D, Park Y, et al. Female reproductive factors, </w:t>
      </w:r>
      <w:proofErr w:type="spellStart"/>
      <w:r>
        <w:rPr>
          <w:sz w:val="20"/>
        </w:rPr>
        <w:t>meno</w:t>
      </w:r>
      <w:proofErr w:type="spellEnd"/>
      <w:r>
        <w:rPr>
          <w:sz w:val="20"/>
        </w:rPr>
        <w:t xml:space="preserve">- pausal hormone use, and Parkinson’s disease. Mov. </w:t>
      </w:r>
      <w:proofErr w:type="spellStart"/>
      <w:r>
        <w:rPr>
          <w:sz w:val="20"/>
        </w:rPr>
        <w:t>Disord</w:t>
      </w:r>
      <w:proofErr w:type="spellEnd"/>
      <w:r>
        <w:rPr>
          <w:sz w:val="20"/>
        </w:rPr>
        <w:t xml:space="preserve">. </w:t>
      </w:r>
      <w:proofErr w:type="gramStart"/>
      <w:r>
        <w:rPr>
          <w:spacing w:val="-2"/>
          <w:sz w:val="20"/>
        </w:rPr>
        <w:t>2014;29:889</w:t>
      </w:r>
      <w:proofErr w:type="gramEnd"/>
      <w:r>
        <w:rPr>
          <w:spacing w:val="-2"/>
          <w:sz w:val="20"/>
        </w:rPr>
        <w:t>–896.</w:t>
      </w:r>
    </w:p>
    <w:p w14:paraId="2680A853" w14:textId="77777777" w:rsidR="001B6ABB" w:rsidRDefault="00000000">
      <w:pPr>
        <w:pStyle w:val="ListParagraph"/>
        <w:numPr>
          <w:ilvl w:val="0"/>
          <w:numId w:val="1"/>
        </w:numPr>
        <w:tabs>
          <w:tab w:val="left" w:pos="522"/>
        </w:tabs>
        <w:spacing w:before="168"/>
        <w:ind w:right="111" w:firstLine="0"/>
        <w:jc w:val="both"/>
        <w:rPr>
          <w:sz w:val="20"/>
        </w:rPr>
      </w:pPr>
      <w:r>
        <w:rPr>
          <w:sz w:val="20"/>
        </w:rPr>
        <w:t xml:space="preserve">Litim N, Morissette M, Di Paolo T. Neuroactive gonadal drugs for neuroprotection in male and female models of Parkinson’s disease. </w:t>
      </w:r>
      <w:proofErr w:type="spellStart"/>
      <w:r>
        <w:rPr>
          <w:sz w:val="20"/>
        </w:rPr>
        <w:t>Neurosci</w:t>
      </w:r>
      <w:proofErr w:type="spellEnd"/>
      <w:r>
        <w:rPr>
          <w:sz w:val="20"/>
        </w:rPr>
        <w:t xml:space="preserve">. </w:t>
      </w:r>
      <w:proofErr w:type="spellStart"/>
      <w:r>
        <w:rPr>
          <w:sz w:val="20"/>
        </w:rPr>
        <w:t>Biobehav</w:t>
      </w:r>
      <w:proofErr w:type="spellEnd"/>
      <w:r>
        <w:rPr>
          <w:sz w:val="20"/>
        </w:rPr>
        <w:t xml:space="preserve">. Rev. </w:t>
      </w:r>
      <w:proofErr w:type="gramStart"/>
      <w:r>
        <w:rPr>
          <w:sz w:val="20"/>
        </w:rPr>
        <w:t>2016;67:79</w:t>
      </w:r>
      <w:proofErr w:type="gramEnd"/>
      <w:r>
        <w:rPr>
          <w:sz w:val="20"/>
        </w:rPr>
        <w:t>–88.</w:t>
      </w:r>
    </w:p>
    <w:p w14:paraId="30C63C57" w14:textId="77777777" w:rsidR="001B6ABB" w:rsidRDefault="00000000">
      <w:pPr>
        <w:pStyle w:val="ListParagraph"/>
        <w:numPr>
          <w:ilvl w:val="0"/>
          <w:numId w:val="1"/>
        </w:numPr>
        <w:tabs>
          <w:tab w:val="left" w:pos="522"/>
        </w:tabs>
        <w:spacing w:before="156"/>
        <w:ind w:right="110" w:firstLine="0"/>
        <w:jc w:val="both"/>
        <w:rPr>
          <w:sz w:val="20"/>
        </w:rPr>
      </w:pPr>
      <w:r>
        <w:rPr>
          <w:sz w:val="20"/>
        </w:rPr>
        <w:t xml:space="preserve">Marder K, Tang MX, Alfaro B, et al. Postmenopausal estrogen use and Parkinson’s disease with and without dementia. Neurology. </w:t>
      </w:r>
      <w:proofErr w:type="gramStart"/>
      <w:r>
        <w:rPr>
          <w:spacing w:val="-2"/>
          <w:sz w:val="20"/>
        </w:rPr>
        <w:t>1998;50:1141</w:t>
      </w:r>
      <w:proofErr w:type="gramEnd"/>
      <w:r>
        <w:rPr>
          <w:spacing w:val="-2"/>
          <w:sz w:val="20"/>
        </w:rPr>
        <w:t>–1143.</w:t>
      </w:r>
    </w:p>
    <w:p w14:paraId="40059452" w14:textId="77777777" w:rsidR="001B6ABB" w:rsidRDefault="00000000">
      <w:pPr>
        <w:pStyle w:val="ListParagraph"/>
        <w:numPr>
          <w:ilvl w:val="0"/>
          <w:numId w:val="1"/>
        </w:numPr>
        <w:tabs>
          <w:tab w:val="left" w:pos="522"/>
        </w:tabs>
        <w:spacing w:before="160"/>
        <w:ind w:right="107" w:firstLine="0"/>
        <w:jc w:val="both"/>
        <w:rPr>
          <w:sz w:val="20"/>
        </w:rPr>
      </w:pPr>
      <w:r>
        <w:rPr>
          <w:sz w:val="20"/>
        </w:rPr>
        <w:t xml:space="preserve">Labandeira-Garcia JL, Rodriguez-Perez AI, Valenzuela R, et al. Menopause and Parkinson’s disease. Interaction between estro- gens and brain renin-angiotensin system in dopaminergic </w:t>
      </w:r>
      <w:proofErr w:type="spellStart"/>
      <w:r>
        <w:rPr>
          <w:sz w:val="20"/>
        </w:rPr>
        <w:t>degen</w:t>
      </w:r>
      <w:proofErr w:type="spellEnd"/>
      <w:r>
        <w:rPr>
          <w:sz w:val="20"/>
        </w:rPr>
        <w:t xml:space="preserve">- </w:t>
      </w:r>
      <w:proofErr w:type="spellStart"/>
      <w:r>
        <w:rPr>
          <w:sz w:val="20"/>
        </w:rPr>
        <w:t>eration</w:t>
      </w:r>
      <w:proofErr w:type="spellEnd"/>
      <w:r>
        <w:rPr>
          <w:sz w:val="20"/>
        </w:rPr>
        <w:t xml:space="preserve">. Front. </w:t>
      </w:r>
      <w:proofErr w:type="spellStart"/>
      <w:r>
        <w:rPr>
          <w:sz w:val="20"/>
        </w:rPr>
        <w:t>Neuroendocrinol</w:t>
      </w:r>
      <w:proofErr w:type="spellEnd"/>
      <w:r>
        <w:rPr>
          <w:sz w:val="20"/>
        </w:rPr>
        <w:t xml:space="preserve">. </w:t>
      </w:r>
      <w:proofErr w:type="gramStart"/>
      <w:r>
        <w:rPr>
          <w:sz w:val="20"/>
        </w:rPr>
        <w:t>2016;43:44</w:t>
      </w:r>
      <w:proofErr w:type="gramEnd"/>
      <w:r>
        <w:rPr>
          <w:sz w:val="20"/>
        </w:rPr>
        <w:t>–59.</w:t>
      </w:r>
    </w:p>
    <w:p w14:paraId="3117E8E7" w14:textId="77777777" w:rsidR="001B6ABB" w:rsidRDefault="00000000">
      <w:pPr>
        <w:pStyle w:val="ListParagraph"/>
        <w:numPr>
          <w:ilvl w:val="0"/>
          <w:numId w:val="1"/>
        </w:numPr>
        <w:tabs>
          <w:tab w:val="left" w:pos="522"/>
        </w:tabs>
        <w:ind w:right="115" w:firstLine="0"/>
        <w:jc w:val="both"/>
        <w:rPr>
          <w:sz w:val="20"/>
        </w:rPr>
      </w:pPr>
      <w:r>
        <w:rPr>
          <w:sz w:val="20"/>
        </w:rPr>
        <w:t xml:space="preserve">Re RN. Tissue renin angiotensin systems. Med. Clin. North Am. </w:t>
      </w:r>
      <w:proofErr w:type="gramStart"/>
      <w:r>
        <w:rPr>
          <w:sz w:val="20"/>
        </w:rPr>
        <w:t>2004;88:19</w:t>
      </w:r>
      <w:proofErr w:type="gramEnd"/>
      <w:r>
        <w:rPr>
          <w:sz w:val="20"/>
        </w:rPr>
        <w:t>–38.</w:t>
      </w:r>
    </w:p>
    <w:p w14:paraId="7D4EBAF5" w14:textId="77777777" w:rsidR="001B6ABB" w:rsidRDefault="00000000">
      <w:pPr>
        <w:pStyle w:val="ListParagraph"/>
        <w:numPr>
          <w:ilvl w:val="0"/>
          <w:numId w:val="1"/>
        </w:numPr>
        <w:tabs>
          <w:tab w:val="left" w:pos="522"/>
        </w:tabs>
        <w:spacing w:before="166" w:line="237" w:lineRule="auto"/>
        <w:ind w:right="108" w:firstLine="0"/>
        <w:jc w:val="both"/>
        <w:rPr>
          <w:sz w:val="20"/>
        </w:rPr>
      </w:pPr>
      <w:r>
        <w:rPr>
          <w:sz w:val="20"/>
        </w:rPr>
        <w:t xml:space="preserve">Garrido AM, </w:t>
      </w:r>
      <w:proofErr w:type="spellStart"/>
      <w:r>
        <w:rPr>
          <w:sz w:val="20"/>
        </w:rPr>
        <w:t>Griendling</w:t>
      </w:r>
      <w:proofErr w:type="spellEnd"/>
      <w:r>
        <w:rPr>
          <w:sz w:val="20"/>
        </w:rPr>
        <w:t xml:space="preserve"> KK. NADPH oxidases</w:t>
      </w:r>
      <w:r>
        <w:rPr>
          <w:spacing w:val="-4"/>
          <w:sz w:val="20"/>
        </w:rPr>
        <w:t xml:space="preserve"> </w:t>
      </w:r>
      <w:r>
        <w:rPr>
          <w:sz w:val="20"/>
        </w:rPr>
        <w:t>and</w:t>
      </w:r>
      <w:r>
        <w:rPr>
          <w:spacing w:val="-8"/>
          <w:sz w:val="20"/>
        </w:rPr>
        <w:t xml:space="preserve"> </w:t>
      </w:r>
      <w:r>
        <w:rPr>
          <w:sz w:val="20"/>
        </w:rPr>
        <w:t>angiotensin</w:t>
      </w:r>
      <w:r>
        <w:rPr>
          <w:spacing w:val="-3"/>
          <w:sz w:val="20"/>
        </w:rPr>
        <w:t xml:space="preserve"> </w:t>
      </w:r>
      <w:r>
        <w:rPr>
          <w:sz w:val="20"/>
        </w:rPr>
        <w:t>II</w:t>
      </w:r>
      <w:r>
        <w:rPr>
          <w:spacing w:val="-7"/>
          <w:sz w:val="20"/>
        </w:rPr>
        <w:t xml:space="preserve"> </w:t>
      </w:r>
      <w:r>
        <w:rPr>
          <w:sz w:val="20"/>
        </w:rPr>
        <w:t>receptor signaling.</w:t>
      </w:r>
      <w:r>
        <w:rPr>
          <w:spacing w:val="-5"/>
          <w:sz w:val="20"/>
        </w:rPr>
        <w:t xml:space="preserve"> </w:t>
      </w:r>
      <w:r>
        <w:rPr>
          <w:sz w:val="20"/>
        </w:rPr>
        <w:t xml:space="preserve">Mol. Cell. Endocrinol. </w:t>
      </w:r>
      <w:proofErr w:type="gramStart"/>
      <w:r>
        <w:rPr>
          <w:sz w:val="20"/>
        </w:rPr>
        <w:t>2009;302:148</w:t>
      </w:r>
      <w:proofErr w:type="gramEnd"/>
      <w:r>
        <w:rPr>
          <w:sz w:val="20"/>
        </w:rPr>
        <w:t>–158.</w:t>
      </w:r>
    </w:p>
    <w:p w14:paraId="50674F6D" w14:textId="77777777" w:rsidR="001B6ABB" w:rsidRDefault="00000000">
      <w:pPr>
        <w:pStyle w:val="ListParagraph"/>
        <w:numPr>
          <w:ilvl w:val="0"/>
          <w:numId w:val="1"/>
        </w:numPr>
        <w:tabs>
          <w:tab w:val="left" w:pos="522"/>
        </w:tabs>
        <w:spacing w:before="165"/>
        <w:ind w:right="107" w:firstLine="0"/>
        <w:jc w:val="both"/>
        <w:rPr>
          <w:sz w:val="20"/>
        </w:rPr>
      </w:pPr>
      <w:r>
        <w:rPr>
          <w:sz w:val="20"/>
        </w:rPr>
        <w:t>Garrido-Gil P, Valenzuela R, Villar-Cheda B, et al. Expression of angiotensinogen and receptors for angiotensin and prorenin in the monkey and human substantia nigra: an intracellular renin- angiotensin system in the nigra. Brain Struct.</w:t>
      </w:r>
      <w:r>
        <w:rPr>
          <w:spacing w:val="80"/>
          <w:sz w:val="20"/>
        </w:rPr>
        <w:t xml:space="preserve"> </w:t>
      </w:r>
      <w:proofErr w:type="spellStart"/>
      <w:r>
        <w:rPr>
          <w:sz w:val="20"/>
        </w:rPr>
        <w:t>Funct</w:t>
      </w:r>
      <w:proofErr w:type="spellEnd"/>
      <w:r>
        <w:rPr>
          <w:sz w:val="20"/>
        </w:rPr>
        <w:t>. 2013;218: 373–388.</w:t>
      </w:r>
    </w:p>
    <w:p w14:paraId="265EDD58" w14:textId="77777777" w:rsidR="001B6ABB" w:rsidRDefault="00000000">
      <w:pPr>
        <w:pStyle w:val="ListParagraph"/>
        <w:numPr>
          <w:ilvl w:val="0"/>
          <w:numId w:val="1"/>
        </w:numPr>
        <w:tabs>
          <w:tab w:val="left" w:pos="522"/>
        </w:tabs>
        <w:spacing w:before="156"/>
        <w:ind w:right="113" w:firstLine="0"/>
        <w:jc w:val="both"/>
        <w:rPr>
          <w:sz w:val="20"/>
        </w:rPr>
      </w:pPr>
      <w:r>
        <w:rPr>
          <w:sz w:val="20"/>
        </w:rPr>
        <w:t>Muñoz A, Rey</w:t>
      </w:r>
      <w:r>
        <w:rPr>
          <w:spacing w:val="-2"/>
          <w:sz w:val="20"/>
        </w:rPr>
        <w:t xml:space="preserve"> </w:t>
      </w:r>
      <w:r>
        <w:rPr>
          <w:sz w:val="20"/>
        </w:rPr>
        <w:t>P, Guerra MJ, et al. Reduction of dopaminergic degeneration and oxidative</w:t>
      </w:r>
      <w:r>
        <w:rPr>
          <w:spacing w:val="22"/>
          <w:sz w:val="20"/>
        </w:rPr>
        <w:t xml:space="preserve"> </w:t>
      </w:r>
      <w:r>
        <w:rPr>
          <w:sz w:val="20"/>
        </w:rPr>
        <w:t>stress</w:t>
      </w:r>
    </w:p>
    <w:p w14:paraId="205E3D28" w14:textId="77777777" w:rsidR="001B6ABB" w:rsidRDefault="001B6ABB">
      <w:pPr>
        <w:jc w:val="both"/>
        <w:rPr>
          <w:sz w:val="20"/>
        </w:rPr>
        <w:sectPr w:rsidR="001B6ABB">
          <w:pgSz w:w="11910" w:h="16840"/>
          <w:pgMar w:top="1660" w:right="1320" w:bottom="920" w:left="1340" w:header="1284" w:footer="721" w:gutter="0"/>
          <w:cols w:num="2" w:space="720" w:equalWidth="0">
            <w:col w:w="4306" w:space="563"/>
            <w:col w:w="4381"/>
          </w:cols>
        </w:sectPr>
      </w:pPr>
    </w:p>
    <w:p w14:paraId="5A5CE63F" w14:textId="77777777" w:rsidR="001B6ABB" w:rsidRDefault="00000000">
      <w:pPr>
        <w:pStyle w:val="BodyText"/>
        <w:tabs>
          <w:tab w:val="left" w:pos="1238"/>
          <w:tab w:val="left" w:pos="2356"/>
          <w:tab w:val="left" w:pos="3134"/>
        </w:tabs>
        <w:spacing w:before="83"/>
        <w:ind w:right="46"/>
      </w:pPr>
      <w:r>
        <w:lastRenderedPageBreak/>
        <w:t>by</w:t>
      </w:r>
      <w:r>
        <w:rPr>
          <w:spacing w:val="-8"/>
        </w:rPr>
        <w:t xml:space="preserve"> </w:t>
      </w:r>
      <w:r>
        <w:t>inhibition of</w:t>
      </w:r>
      <w:r>
        <w:rPr>
          <w:spacing w:val="-4"/>
        </w:rPr>
        <w:t xml:space="preserve"> </w:t>
      </w:r>
      <w:r>
        <w:t>angiotensin converting</w:t>
      </w:r>
      <w:r>
        <w:rPr>
          <w:spacing w:val="-4"/>
        </w:rPr>
        <w:t xml:space="preserve"> </w:t>
      </w:r>
      <w:r>
        <w:t>enzyme</w:t>
      </w:r>
      <w:r>
        <w:rPr>
          <w:spacing w:val="-2"/>
        </w:rPr>
        <w:t xml:space="preserve"> </w:t>
      </w:r>
      <w:r>
        <w:t>in</w:t>
      </w:r>
      <w:r>
        <w:rPr>
          <w:spacing w:val="-4"/>
        </w:rPr>
        <w:t xml:space="preserve"> </w:t>
      </w:r>
      <w:proofErr w:type="gramStart"/>
      <w:r>
        <w:t xml:space="preserve">a </w:t>
      </w:r>
      <w:r>
        <w:rPr>
          <w:spacing w:val="-4"/>
        </w:rPr>
        <w:t>MPTP</w:t>
      </w:r>
      <w:proofErr w:type="gramEnd"/>
      <w:r>
        <w:tab/>
      </w:r>
      <w:r>
        <w:rPr>
          <w:spacing w:val="-4"/>
        </w:rPr>
        <w:t>model</w:t>
      </w:r>
      <w:r>
        <w:tab/>
      </w:r>
      <w:r>
        <w:rPr>
          <w:spacing w:val="-6"/>
        </w:rPr>
        <w:t>of</w:t>
      </w:r>
      <w:r>
        <w:tab/>
      </w:r>
      <w:r>
        <w:rPr>
          <w:spacing w:val="-2"/>
        </w:rPr>
        <w:t xml:space="preserve">parkinsonism. </w:t>
      </w:r>
      <w:r>
        <w:t xml:space="preserve">Neuropharmacology. </w:t>
      </w:r>
      <w:proofErr w:type="gramStart"/>
      <w:r>
        <w:t>2006;51:112</w:t>
      </w:r>
      <w:proofErr w:type="gramEnd"/>
      <w:r>
        <w:t>–120.</w:t>
      </w:r>
    </w:p>
    <w:p w14:paraId="38F9DA00" w14:textId="77777777" w:rsidR="001B6ABB" w:rsidRDefault="00000000">
      <w:pPr>
        <w:pStyle w:val="ListParagraph"/>
        <w:numPr>
          <w:ilvl w:val="0"/>
          <w:numId w:val="1"/>
        </w:numPr>
        <w:tabs>
          <w:tab w:val="left" w:pos="522"/>
        </w:tabs>
        <w:spacing w:before="160"/>
        <w:ind w:firstLine="0"/>
        <w:jc w:val="both"/>
        <w:rPr>
          <w:sz w:val="20"/>
        </w:rPr>
      </w:pPr>
      <w:r>
        <w:rPr>
          <w:sz w:val="20"/>
        </w:rPr>
        <w:t>Joglar B, Rodriguez-Pallares J, Rodriguez- Perez AI, et al. The inflammatory response in the MPTP model of</w:t>
      </w:r>
      <w:r>
        <w:rPr>
          <w:spacing w:val="-2"/>
          <w:sz w:val="20"/>
        </w:rPr>
        <w:t xml:space="preserve"> </w:t>
      </w:r>
      <w:r>
        <w:rPr>
          <w:sz w:val="20"/>
        </w:rPr>
        <w:t>Parkinson’s disease is</w:t>
      </w:r>
      <w:r>
        <w:rPr>
          <w:spacing w:val="-4"/>
          <w:sz w:val="20"/>
        </w:rPr>
        <w:t xml:space="preserve"> </w:t>
      </w:r>
      <w:r>
        <w:rPr>
          <w:sz w:val="20"/>
        </w:rPr>
        <w:t xml:space="preserve">mediated by brain angiotensin: relevance to progression of the disease. J. </w:t>
      </w:r>
      <w:proofErr w:type="spellStart"/>
      <w:r>
        <w:rPr>
          <w:sz w:val="20"/>
        </w:rPr>
        <w:t>Neurochem</w:t>
      </w:r>
      <w:proofErr w:type="spellEnd"/>
      <w:r>
        <w:rPr>
          <w:sz w:val="20"/>
        </w:rPr>
        <w:t xml:space="preserve">. </w:t>
      </w:r>
      <w:proofErr w:type="gramStart"/>
      <w:r>
        <w:rPr>
          <w:sz w:val="20"/>
        </w:rPr>
        <w:t>2009;109:656</w:t>
      </w:r>
      <w:proofErr w:type="gramEnd"/>
      <w:r>
        <w:rPr>
          <w:sz w:val="20"/>
        </w:rPr>
        <w:t>–669.</w:t>
      </w:r>
    </w:p>
    <w:p w14:paraId="642D070B" w14:textId="77777777" w:rsidR="001B6ABB" w:rsidRDefault="00000000">
      <w:pPr>
        <w:pStyle w:val="ListParagraph"/>
        <w:numPr>
          <w:ilvl w:val="0"/>
          <w:numId w:val="1"/>
        </w:numPr>
        <w:tabs>
          <w:tab w:val="left" w:pos="522"/>
        </w:tabs>
        <w:spacing w:before="160"/>
        <w:ind w:right="42" w:firstLine="0"/>
        <w:jc w:val="both"/>
        <w:rPr>
          <w:sz w:val="20"/>
        </w:rPr>
      </w:pPr>
      <w:r>
        <w:rPr>
          <w:sz w:val="20"/>
        </w:rPr>
        <w:t xml:space="preserve">Rodriguez-Perez AI, </w:t>
      </w:r>
      <w:proofErr w:type="spellStart"/>
      <w:r>
        <w:rPr>
          <w:sz w:val="20"/>
        </w:rPr>
        <w:t>Borrajo</w:t>
      </w:r>
      <w:proofErr w:type="spellEnd"/>
      <w:r>
        <w:rPr>
          <w:sz w:val="20"/>
        </w:rPr>
        <w:t xml:space="preserve"> A, Valenzuela</w:t>
      </w:r>
      <w:r>
        <w:rPr>
          <w:spacing w:val="80"/>
          <w:sz w:val="20"/>
        </w:rPr>
        <w:t xml:space="preserve"> </w:t>
      </w:r>
      <w:r>
        <w:rPr>
          <w:sz w:val="20"/>
        </w:rPr>
        <w:t>R, et al. Critical period for dopaminergic neuroprotection by hormonal replacement in menopausal</w:t>
      </w:r>
      <w:r>
        <w:rPr>
          <w:spacing w:val="-2"/>
          <w:sz w:val="20"/>
        </w:rPr>
        <w:t xml:space="preserve"> </w:t>
      </w:r>
      <w:r>
        <w:rPr>
          <w:sz w:val="20"/>
        </w:rPr>
        <w:t xml:space="preserve">rats. </w:t>
      </w:r>
      <w:proofErr w:type="spellStart"/>
      <w:r>
        <w:rPr>
          <w:sz w:val="20"/>
        </w:rPr>
        <w:t>Neurobiol</w:t>
      </w:r>
      <w:proofErr w:type="spellEnd"/>
      <w:r>
        <w:rPr>
          <w:sz w:val="20"/>
        </w:rPr>
        <w:t xml:space="preserve">. Aging. </w:t>
      </w:r>
      <w:proofErr w:type="gramStart"/>
      <w:r>
        <w:rPr>
          <w:sz w:val="20"/>
        </w:rPr>
        <w:t>2015;36:1194</w:t>
      </w:r>
      <w:proofErr w:type="gramEnd"/>
      <w:r>
        <w:rPr>
          <w:sz w:val="20"/>
        </w:rPr>
        <w:t xml:space="preserve">– </w:t>
      </w:r>
      <w:r>
        <w:rPr>
          <w:spacing w:val="-2"/>
          <w:sz w:val="20"/>
        </w:rPr>
        <w:t>1208.</w:t>
      </w:r>
    </w:p>
    <w:p w14:paraId="2E74110E" w14:textId="77777777" w:rsidR="001B6ABB" w:rsidRDefault="00000000">
      <w:pPr>
        <w:pStyle w:val="ListParagraph"/>
        <w:numPr>
          <w:ilvl w:val="0"/>
          <w:numId w:val="1"/>
        </w:numPr>
        <w:tabs>
          <w:tab w:val="left" w:pos="522"/>
        </w:tabs>
        <w:ind w:right="39" w:firstLine="0"/>
        <w:jc w:val="both"/>
        <w:rPr>
          <w:sz w:val="20"/>
        </w:rPr>
      </w:pPr>
      <w:r>
        <w:rPr>
          <w:sz w:val="20"/>
        </w:rPr>
        <w:t xml:space="preserve">Harman D. Free radical theory of aging: Consequences of </w:t>
      </w:r>
      <w:proofErr w:type="spellStart"/>
      <w:r>
        <w:rPr>
          <w:sz w:val="20"/>
        </w:rPr>
        <w:t>mito</w:t>
      </w:r>
      <w:proofErr w:type="spellEnd"/>
      <w:r>
        <w:rPr>
          <w:sz w:val="20"/>
        </w:rPr>
        <w:t xml:space="preserve">- </w:t>
      </w:r>
      <w:proofErr w:type="spellStart"/>
      <w:r>
        <w:rPr>
          <w:sz w:val="20"/>
        </w:rPr>
        <w:t>chondrial</w:t>
      </w:r>
      <w:proofErr w:type="spellEnd"/>
      <w:r>
        <w:rPr>
          <w:sz w:val="20"/>
        </w:rPr>
        <w:t xml:space="preserve"> aging. Age (Omaha). </w:t>
      </w:r>
      <w:proofErr w:type="gramStart"/>
      <w:r>
        <w:rPr>
          <w:sz w:val="20"/>
        </w:rPr>
        <w:t>1983;6:86</w:t>
      </w:r>
      <w:proofErr w:type="gramEnd"/>
      <w:r>
        <w:rPr>
          <w:sz w:val="20"/>
        </w:rPr>
        <w:t>–94.</w:t>
      </w:r>
    </w:p>
    <w:p w14:paraId="35BF1AAE" w14:textId="77777777" w:rsidR="001B6ABB" w:rsidRDefault="00000000">
      <w:pPr>
        <w:pStyle w:val="ListParagraph"/>
        <w:numPr>
          <w:ilvl w:val="0"/>
          <w:numId w:val="1"/>
        </w:numPr>
        <w:tabs>
          <w:tab w:val="left" w:pos="522"/>
        </w:tabs>
        <w:ind w:right="43" w:firstLine="0"/>
        <w:jc w:val="both"/>
        <w:rPr>
          <w:sz w:val="20"/>
        </w:rPr>
      </w:pPr>
      <w:r>
        <w:rPr>
          <w:sz w:val="20"/>
        </w:rPr>
        <w:t xml:space="preserve">Swerdlow RH, Khan SM. A “mitochondrial cascade hypothesis” for sporadic Alzheimer’s disease. Med. Hypotheses. </w:t>
      </w:r>
      <w:proofErr w:type="gramStart"/>
      <w:r>
        <w:rPr>
          <w:sz w:val="20"/>
        </w:rPr>
        <w:t>2004;63:8</w:t>
      </w:r>
      <w:proofErr w:type="gramEnd"/>
      <w:r>
        <w:rPr>
          <w:sz w:val="20"/>
        </w:rPr>
        <w:t>– 20.</w:t>
      </w:r>
    </w:p>
    <w:p w14:paraId="7F6F61D2" w14:textId="77777777" w:rsidR="001B6ABB" w:rsidRDefault="00000000">
      <w:pPr>
        <w:pStyle w:val="ListParagraph"/>
        <w:numPr>
          <w:ilvl w:val="0"/>
          <w:numId w:val="1"/>
        </w:numPr>
        <w:tabs>
          <w:tab w:val="left" w:pos="522"/>
        </w:tabs>
        <w:spacing w:before="159"/>
        <w:ind w:right="41" w:firstLine="0"/>
        <w:jc w:val="both"/>
        <w:rPr>
          <w:sz w:val="20"/>
        </w:rPr>
      </w:pPr>
      <w:r>
        <w:rPr>
          <w:sz w:val="20"/>
        </w:rPr>
        <w:t xml:space="preserve">Croteau E, Castellano CA, Fortier M, et al. A cross-sectional com- parison of brain glucose and ketone metabolism in cognitively healthy older adults, mild cognitive impairment and early Alzheimer’s disease. Exp. </w:t>
      </w:r>
      <w:proofErr w:type="spellStart"/>
      <w:r>
        <w:rPr>
          <w:sz w:val="20"/>
        </w:rPr>
        <w:t>Gerontol</w:t>
      </w:r>
      <w:proofErr w:type="spellEnd"/>
      <w:r>
        <w:rPr>
          <w:sz w:val="20"/>
        </w:rPr>
        <w:t xml:space="preserve">. </w:t>
      </w:r>
      <w:proofErr w:type="gramStart"/>
      <w:r>
        <w:rPr>
          <w:sz w:val="20"/>
        </w:rPr>
        <w:t>2018;107:18</w:t>
      </w:r>
      <w:proofErr w:type="gramEnd"/>
      <w:r>
        <w:rPr>
          <w:sz w:val="20"/>
        </w:rPr>
        <w:t xml:space="preserve">– </w:t>
      </w:r>
      <w:r>
        <w:rPr>
          <w:spacing w:val="-4"/>
          <w:sz w:val="20"/>
        </w:rPr>
        <w:t>26.</w:t>
      </w:r>
    </w:p>
    <w:p w14:paraId="6F08A29B" w14:textId="77777777" w:rsidR="001B6ABB" w:rsidRDefault="00000000">
      <w:pPr>
        <w:pStyle w:val="ListParagraph"/>
        <w:numPr>
          <w:ilvl w:val="0"/>
          <w:numId w:val="1"/>
        </w:numPr>
        <w:tabs>
          <w:tab w:val="left" w:pos="522"/>
        </w:tabs>
        <w:spacing w:before="162"/>
        <w:ind w:firstLine="0"/>
        <w:jc w:val="both"/>
        <w:rPr>
          <w:sz w:val="20"/>
        </w:rPr>
      </w:pPr>
      <w:r>
        <w:rPr>
          <w:sz w:val="20"/>
        </w:rPr>
        <w:t>Mosconi</w:t>
      </w:r>
      <w:r>
        <w:rPr>
          <w:spacing w:val="-2"/>
          <w:sz w:val="20"/>
        </w:rPr>
        <w:t xml:space="preserve"> </w:t>
      </w:r>
      <w:r>
        <w:rPr>
          <w:sz w:val="20"/>
        </w:rPr>
        <w:t>L,</w:t>
      </w:r>
      <w:r>
        <w:rPr>
          <w:spacing w:val="-2"/>
          <w:sz w:val="20"/>
        </w:rPr>
        <w:t xml:space="preserve"> </w:t>
      </w:r>
      <w:proofErr w:type="spellStart"/>
      <w:r>
        <w:rPr>
          <w:sz w:val="20"/>
        </w:rPr>
        <w:t>Mistur</w:t>
      </w:r>
      <w:proofErr w:type="spellEnd"/>
      <w:r>
        <w:rPr>
          <w:spacing w:val="-4"/>
          <w:sz w:val="20"/>
        </w:rPr>
        <w:t xml:space="preserve"> </w:t>
      </w:r>
      <w:r>
        <w:rPr>
          <w:sz w:val="20"/>
        </w:rPr>
        <w:t>R,</w:t>
      </w:r>
      <w:r>
        <w:rPr>
          <w:spacing w:val="-2"/>
          <w:sz w:val="20"/>
        </w:rPr>
        <w:t xml:space="preserve"> </w:t>
      </w:r>
      <w:r>
        <w:rPr>
          <w:sz w:val="20"/>
        </w:rPr>
        <w:t>Switalski</w:t>
      </w:r>
      <w:r>
        <w:rPr>
          <w:spacing w:val="-2"/>
          <w:sz w:val="20"/>
        </w:rPr>
        <w:t xml:space="preserve"> </w:t>
      </w:r>
      <w:r>
        <w:rPr>
          <w:sz w:val="20"/>
        </w:rPr>
        <w:t>R,</w:t>
      </w:r>
      <w:r>
        <w:rPr>
          <w:spacing w:val="-2"/>
          <w:sz w:val="20"/>
        </w:rPr>
        <w:t xml:space="preserve"> </w:t>
      </w:r>
      <w:r>
        <w:rPr>
          <w:sz w:val="20"/>
        </w:rPr>
        <w:t>et</w:t>
      </w:r>
      <w:r>
        <w:rPr>
          <w:spacing w:val="-2"/>
          <w:sz w:val="20"/>
        </w:rPr>
        <w:t xml:space="preserve"> </w:t>
      </w:r>
      <w:r>
        <w:rPr>
          <w:sz w:val="20"/>
        </w:rPr>
        <w:t>al.</w:t>
      </w:r>
      <w:r>
        <w:rPr>
          <w:spacing w:val="-2"/>
          <w:sz w:val="20"/>
        </w:rPr>
        <w:t xml:space="preserve"> </w:t>
      </w:r>
      <w:r>
        <w:rPr>
          <w:sz w:val="20"/>
        </w:rPr>
        <w:t xml:space="preserve">FDG- PET changes in brain glucose metabolism from normal cognition to pathologically verified Alzheimer’s disease. Eur. J. </w:t>
      </w:r>
      <w:proofErr w:type="spellStart"/>
      <w:r>
        <w:rPr>
          <w:sz w:val="20"/>
        </w:rPr>
        <w:t>Nucl</w:t>
      </w:r>
      <w:proofErr w:type="spellEnd"/>
      <w:r>
        <w:rPr>
          <w:sz w:val="20"/>
        </w:rPr>
        <w:t xml:space="preserve">. Med. Mol. Imaging. </w:t>
      </w:r>
      <w:proofErr w:type="gramStart"/>
      <w:r>
        <w:rPr>
          <w:sz w:val="20"/>
        </w:rPr>
        <w:t>2009;36:811</w:t>
      </w:r>
      <w:proofErr w:type="gramEnd"/>
      <w:r>
        <w:rPr>
          <w:sz w:val="20"/>
        </w:rPr>
        <w:t>–822.</w:t>
      </w:r>
    </w:p>
    <w:p w14:paraId="3953151C" w14:textId="77777777" w:rsidR="001B6ABB" w:rsidRDefault="00000000">
      <w:pPr>
        <w:pStyle w:val="ListParagraph"/>
        <w:numPr>
          <w:ilvl w:val="0"/>
          <w:numId w:val="1"/>
        </w:numPr>
        <w:tabs>
          <w:tab w:val="left" w:pos="522"/>
        </w:tabs>
        <w:spacing w:before="160"/>
        <w:ind w:right="43" w:firstLine="0"/>
        <w:jc w:val="both"/>
        <w:rPr>
          <w:sz w:val="20"/>
        </w:rPr>
      </w:pPr>
      <w:r>
        <w:rPr>
          <w:sz w:val="20"/>
        </w:rPr>
        <w:t>Yao</w:t>
      </w:r>
      <w:r>
        <w:rPr>
          <w:spacing w:val="-8"/>
          <w:sz w:val="20"/>
        </w:rPr>
        <w:t xml:space="preserve"> </w:t>
      </w:r>
      <w:r>
        <w:rPr>
          <w:sz w:val="20"/>
        </w:rPr>
        <w:t>J,</w:t>
      </w:r>
      <w:r>
        <w:rPr>
          <w:spacing w:val="-2"/>
          <w:sz w:val="20"/>
        </w:rPr>
        <w:t xml:space="preserve"> </w:t>
      </w:r>
      <w:r>
        <w:rPr>
          <w:sz w:val="20"/>
        </w:rPr>
        <w:t>Irwin RW,</w:t>
      </w:r>
      <w:r>
        <w:rPr>
          <w:spacing w:val="-2"/>
          <w:sz w:val="20"/>
        </w:rPr>
        <w:t xml:space="preserve"> </w:t>
      </w:r>
      <w:r>
        <w:rPr>
          <w:sz w:val="20"/>
        </w:rPr>
        <w:t>Zhao</w:t>
      </w:r>
      <w:r>
        <w:rPr>
          <w:spacing w:val="-8"/>
          <w:sz w:val="20"/>
        </w:rPr>
        <w:t xml:space="preserve"> </w:t>
      </w:r>
      <w:r>
        <w:rPr>
          <w:sz w:val="20"/>
        </w:rPr>
        <w:t>L,</w:t>
      </w:r>
      <w:r>
        <w:rPr>
          <w:spacing w:val="-2"/>
          <w:sz w:val="20"/>
        </w:rPr>
        <w:t xml:space="preserve"> </w:t>
      </w:r>
      <w:r>
        <w:rPr>
          <w:sz w:val="20"/>
        </w:rPr>
        <w:t>et</w:t>
      </w:r>
      <w:r>
        <w:rPr>
          <w:spacing w:val="-6"/>
          <w:sz w:val="20"/>
        </w:rPr>
        <w:t xml:space="preserve"> </w:t>
      </w:r>
      <w:r>
        <w:rPr>
          <w:sz w:val="20"/>
        </w:rPr>
        <w:t>al.</w:t>
      </w:r>
      <w:r>
        <w:rPr>
          <w:spacing w:val="-5"/>
          <w:sz w:val="20"/>
        </w:rPr>
        <w:t xml:space="preserve"> </w:t>
      </w:r>
      <w:r>
        <w:rPr>
          <w:sz w:val="20"/>
        </w:rPr>
        <w:t>Mitochondrial bioenergetic deficit precedes Alzheimer’s</w:t>
      </w:r>
      <w:r>
        <w:rPr>
          <w:spacing w:val="40"/>
          <w:sz w:val="20"/>
        </w:rPr>
        <w:t xml:space="preserve"> </w:t>
      </w:r>
      <w:r>
        <w:rPr>
          <w:sz w:val="20"/>
        </w:rPr>
        <w:t xml:space="preserve">pathology in female mouse model of Alzheimer’s disease. Proc. Natl. Acad. Sci. U. S. A. 2009;106: </w:t>
      </w:r>
      <w:r>
        <w:rPr>
          <w:spacing w:val="-2"/>
          <w:sz w:val="20"/>
        </w:rPr>
        <w:t>14670–14675.</w:t>
      </w:r>
    </w:p>
    <w:p w14:paraId="435DB64D" w14:textId="77777777" w:rsidR="001B6ABB" w:rsidRDefault="00000000">
      <w:pPr>
        <w:pStyle w:val="ListParagraph"/>
        <w:numPr>
          <w:ilvl w:val="0"/>
          <w:numId w:val="1"/>
        </w:numPr>
        <w:tabs>
          <w:tab w:val="left" w:pos="522"/>
        </w:tabs>
        <w:spacing w:before="162"/>
        <w:ind w:right="43" w:firstLine="0"/>
        <w:jc w:val="both"/>
        <w:rPr>
          <w:sz w:val="20"/>
        </w:rPr>
      </w:pPr>
      <w:r>
        <w:rPr>
          <w:sz w:val="20"/>
        </w:rPr>
        <w:t xml:space="preserve">Mosconi L, Berti V, Quinn C, et al. Perimenopause and emergence of an Alzheimer’s bioenergetic phenotype in brain and periphery. </w:t>
      </w:r>
      <w:proofErr w:type="spellStart"/>
      <w:r>
        <w:rPr>
          <w:sz w:val="20"/>
        </w:rPr>
        <w:t>PLoS</w:t>
      </w:r>
      <w:proofErr w:type="spellEnd"/>
      <w:r>
        <w:rPr>
          <w:sz w:val="20"/>
        </w:rPr>
        <w:t xml:space="preserve"> One. 2017;</w:t>
      </w:r>
      <w:proofErr w:type="gramStart"/>
      <w:r>
        <w:rPr>
          <w:sz w:val="20"/>
        </w:rPr>
        <w:t>12:e</w:t>
      </w:r>
      <w:proofErr w:type="gramEnd"/>
      <w:r>
        <w:rPr>
          <w:sz w:val="20"/>
        </w:rPr>
        <w:t>0185926.</w:t>
      </w:r>
    </w:p>
    <w:p w14:paraId="7D278DB9" w14:textId="77777777" w:rsidR="001B6ABB" w:rsidRDefault="00000000">
      <w:pPr>
        <w:pStyle w:val="ListParagraph"/>
        <w:numPr>
          <w:ilvl w:val="0"/>
          <w:numId w:val="1"/>
        </w:numPr>
        <w:tabs>
          <w:tab w:val="left" w:pos="522"/>
        </w:tabs>
        <w:spacing w:before="160"/>
        <w:ind w:firstLine="0"/>
        <w:jc w:val="both"/>
        <w:rPr>
          <w:sz w:val="20"/>
        </w:rPr>
      </w:pPr>
      <w:r>
        <w:rPr>
          <w:sz w:val="20"/>
        </w:rPr>
        <w:t xml:space="preserve">Yin F, Yao J, Sancheti H, et al. The perimenopausal aging </w:t>
      </w:r>
      <w:proofErr w:type="spellStart"/>
      <w:r>
        <w:rPr>
          <w:sz w:val="20"/>
        </w:rPr>
        <w:t>transi</w:t>
      </w:r>
      <w:proofErr w:type="spellEnd"/>
      <w:r>
        <w:rPr>
          <w:sz w:val="20"/>
        </w:rPr>
        <w:t xml:space="preserve">- </w:t>
      </w:r>
      <w:proofErr w:type="spellStart"/>
      <w:r>
        <w:rPr>
          <w:sz w:val="20"/>
        </w:rPr>
        <w:t>tion</w:t>
      </w:r>
      <w:proofErr w:type="spellEnd"/>
      <w:r>
        <w:rPr>
          <w:sz w:val="20"/>
        </w:rPr>
        <w:t xml:space="preserve"> in the female rat brain: decline in bioenergetic systems and synaptic plasticity. </w:t>
      </w:r>
      <w:proofErr w:type="spellStart"/>
      <w:r>
        <w:rPr>
          <w:sz w:val="20"/>
        </w:rPr>
        <w:t>Neurobiol</w:t>
      </w:r>
      <w:proofErr w:type="spellEnd"/>
      <w:r>
        <w:rPr>
          <w:sz w:val="20"/>
        </w:rPr>
        <w:t xml:space="preserve">. Aging. </w:t>
      </w:r>
      <w:proofErr w:type="gramStart"/>
      <w:r>
        <w:rPr>
          <w:sz w:val="20"/>
        </w:rPr>
        <w:t>2015;36:2282</w:t>
      </w:r>
      <w:proofErr w:type="gramEnd"/>
      <w:r>
        <w:rPr>
          <w:sz w:val="20"/>
        </w:rPr>
        <w:t>–2295.</w:t>
      </w:r>
    </w:p>
    <w:p w14:paraId="7174E5AB" w14:textId="77777777" w:rsidR="001B6ABB" w:rsidRDefault="00000000">
      <w:pPr>
        <w:pStyle w:val="ListParagraph"/>
        <w:numPr>
          <w:ilvl w:val="0"/>
          <w:numId w:val="1"/>
        </w:numPr>
        <w:tabs>
          <w:tab w:val="left" w:pos="522"/>
        </w:tabs>
        <w:spacing w:before="160"/>
        <w:ind w:right="42" w:firstLine="0"/>
        <w:jc w:val="both"/>
        <w:rPr>
          <w:sz w:val="20"/>
        </w:rPr>
      </w:pPr>
      <w:proofErr w:type="spellStart"/>
      <w:r>
        <w:rPr>
          <w:sz w:val="20"/>
        </w:rPr>
        <w:t>Rasgon</w:t>
      </w:r>
      <w:proofErr w:type="spellEnd"/>
      <w:r>
        <w:rPr>
          <w:sz w:val="20"/>
        </w:rPr>
        <w:t xml:space="preserve"> NL, Silverman D, Siddarth P, et al. Estrogen use and brain metabolic change in postmenopausal women. </w:t>
      </w:r>
      <w:proofErr w:type="spellStart"/>
      <w:r>
        <w:rPr>
          <w:sz w:val="20"/>
        </w:rPr>
        <w:t>Neurobiol</w:t>
      </w:r>
      <w:proofErr w:type="spellEnd"/>
      <w:r>
        <w:rPr>
          <w:sz w:val="20"/>
        </w:rPr>
        <w:t xml:space="preserve">. Aging. </w:t>
      </w:r>
      <w:proofErr w:type="gramStart"/>
      <w:r>
        <w:rPr>
          <w:spacing w:val="-2"/>
          <w:sz w:val="20"/>
        </w:rPr>
        <w:t>2005;26:229</w:t>
      </w:r>
      <w:proofErr w:type="gramEnd"/>
      <w:r>
        <w:rPr>
          <w:spacing w:val="-2"/>
          <w:sz w:val="20"/>
        </w:rPr>
        <w:t>–235.</w:t>
      </w:r>
    </w:p>
    <w:p w14:paraId="2C9BCDE1" w14:textId="77777777" w:rsidR="001B6ABB" w:rsidRDefault="00000000">
      <w:pPr>
        <w:pStyle w:val="ListParagraph"/>
        <w:numPr>
          <w:ilvl w:val="0"/>
          <w:numId w:val="1"/>
        </w:numPr>
        <w:tabs>
          <w:tab w:val="left" w:pos="522"/>
        </w:tabs>
        <w:ind w:right="40" w:firstLine="0"/>
        <w:jc w:val="both"/>
        <w:rPr>
          <w:sz w:val="20"/>
        </w:rPr>
      </w:pPr>
      <w:r>
        <w:rPr>
          <w:sz w:val="20"/>
        </w:rPr>
        <w:t>Prakash1*, FORMULATION AND EVALUATION</w:t>
      </w:r>
      <w:r>
        <w:rPr>
          <w:spacing w:val="23"/>
          <w:sz w:val="20"/>
        </w:rPr>
        <w:t xml:space="preserve"> </w:t>
      </w:r>
      <w:r>
        <w:rPr>
          <w:sz w:val="20"/>
        </w:rPr>
        <w:t>OF</w:t>
      </w:r>
      <w:r>
        <w:rPr>
          <w:spacing w:val="24"/>
          <w:sz w:val="20"/>
        </w:rPr>
        <w:t xml:space="preserve"> </w:t>
      </w:r>
      <w:r>
        <w:rPr>
          <w:sz w:val="20"/>
        </w:rPr>
        <w:t>HERBAL</w:t>
      </w:r>
      <w:r>
        <w:rPr>
          <w:spacing w:val="23"/>
          <w:sz w:val="20"/>
        </w:rPr>
        <w:t xml:space="preserve"> </w:t>
      </w:r>
      <w:r>
        <w:rPr>
          <w:sz w:val="20"/>
        </w:rPr>
        <w:t>ANTI-ACNE</w:t>
      </w:r>
      <w:r>
        <w:rPr>
          <w:spacing w:val="23"/>
          <w:sz w:val="20"/>
        </w:rPr>
        <w:t xml:space="preserve"> </w:t>
      </w:r>
      <w:r>
        <w:rPr>
          <w:spacing w:val="-5"/>
          <w:sz w:val="20"/>
        </w:rPr>
        <w:t>GEL</w:t>
      </w:r>
    </w:p>
    <w:p w14:paraId="7035F4D8" w14:textId="77777777" w:rsidR="001B6ABB" w:rsidRDefault="00000000">
      <w:pPr>
        <w:pStyle w:val="BodyText"/>
        <w:spacing w:before="4" w:line="235" w:lineRule="auto"/>
        <w:ind w:right="45"/>
      </w:pPr>
      <w:r>
        <w:t>Journal of Pharmaceutical Negative Results ¦ Volume 13 ¦ Special Issue 6 2022.</w:t>
      </w:r>
    </w:p>
    <w:p w14:paraId="60FF06F1" w14:textId="77777777" w:rsidR="001B6ABB" w:rsidRDefault="00000000">
      <w:pPr>
        <w:pStyle w:val="ListParagraph"/>
        <w:numPr>
          <w:ilvl w:val="0"/>
          <w:numId w:val="1"/>
        </w:numPr>
        <w:tabs>
          <w:tab w:val="left" w:pos="522"/>
        </w:tabs>
        <w:spacing w:before="83"/>
        <w:ind w:right="111" w:firstLine="0"/>
        <w:jc w:val="both"/>
        <w:rPr>
          <w:sz w:val="20"/>
        </w:rPr>
      </w:pPr>
      <w:r>
        <w:br w:type="column"/>
      </w:r>
      <w:r>
        <w:rPr>
          <w:sz w:val="20"/>
        </w:rPr>
        <w:t xml:space="preserve">*Satya Prakash1, To Study the Antiulcer Activity of Hydro Alcoholic Extract of Euphorbia </w:t>
      </w:r>
      <w:proofErr w:type="spellStart"/>
      <w:r>
        <w:rPr>
          <w:sz w:val="20"/>
        </w:rPr>
        <w:t>Thymifolia</w:t>
      </w:r>
      <w:proofErr w:type="spellEnd"/>
      <w:r>
        <w:rPr>
          <w:sz w:val="20"/>
        </w:rPr>
        <w:t xml:space="preserve"> on Absolute Ethanol Induced Ulcer in Rats. European Journal of Molecular &amp; Clinical Medicine</w:t>
      </w:r>
      <w:r>
        <w:rPr>
          <w:spacing w:val="56"/>
          <w:sz w:val="20"/>
        </w:rPr>
        <w:t xml:space="preserve"> </w:t>
      </w:r>
      <w:r>
        <w:rPr>
          <w:sz w:val="20"/>
        </w:rPr>
        <w:t>ISSN</w:t>
      </w:r>
      <w:r>
        <w:rPr>
          <w:spacing w:val="64"/>
          <w:sz w:val="20"/>
        </w:rPr>
        <w:t xml:space="preserve"> </w:t>
      </w:r>
      <w:r>
        <w:rPr>
          <w:sz w:val="20"/>
        </w:rPr>
        <w:t>2515-8260</w:t>
      </w:r>
      <w:r>
        <w:rPr>
          <w:spacing w:val="60"/>
          <w:sz w:val="20"/>
        </w:rPr>
        <w:t xml:space="preserve"> </w:t>
      </w:r>
      <w:r>
        <w:rPr>
          <w:sz w:val="20"/>
        </w:rPr>
        <w:t>Volume</w:t>
      </w:r>
      <w:r>
        <w:rPr>
          <w:spacing w:val="56"/>
          <w:sz w:val="20"/>
        </w:rPr>
        <w:t xml:space="preserve"> </w:t>
      </w:r>
      <w:r>
        <w:rPr>
          <w:sz w:val="20"/>
        </w:rPr>
        <w:t>10,</w:t>
      </w:r>
      <w:r>
        <w:rPr>
          <w:spacing w:val="67"/>
          <w:sz w:val="20"/>
        </w:rPr>
        <w:t xml:space="preserve"> </w:t>
      </w:r>
      <w:r>
        <w:rPr>
          <w:sz w:val="20"/>
        </w:rPr>
        <w:t>Issue</w:t>
      </w:r>
      <w:r>
        <w:rPr>
          <w:spacing w:val="57"/>
          <w:sz w:val="20"/>
        </w:rPr>
        <w:t xml:space="preserve"> </w:t>
      </w:r>
      <w:r>
        <w:rPr>
          <w:spacing w:val="-10"/>
          <w:sz w:val="20"/>
        </w:rPr>
        <w:t>1</w:t>
      </w:r>
    </w:p>
    <w:p w14:paraId="32BA2AC9" w14:textId="77777777" w:rsidR="001B6ABB" w:rsidRDefault="00000000">
      <w:pPr>
        <w:pStyle w:val="BodyText"/>
        <w:spacing w:before="2"/>
        <w:jc w:val="left"/>
      </w:pPr>
      <w:r>
        <w:rPr>
          <w:spacing w:val="-2"/>
        </w:rPr>
        <w:t>2023.</w:t>
      </w:r>
    </w:p>
    <w:p w14:paraId="2B0835B1" w14:textId="77777777" w:rsidR="001B6ABB" w:rsidRDefault="00000000">
      <w:pPr>
        <w:pStyle w:val="ListParagraph"/>
        <w:numPr>
          <w:ilvl w:val="0"/>
          <w:numId w:val="1"/>
        </w:numPr>
        <w:tabs>
          <w:tab w:val="left" w:pos="522"/>
        </w:tabs>
        <w:spacing w:before="1"/>
        <w:ind w:right="109" w:firstLine="0"/>
        <w:jc w:val="both"/>
        <w:rPr>
          <w:sz w:val="20"/>
        </w:rPr>
      </w:pPr>
      <w:r>
        <w:rPr>
          <w:sz w:val="20"/>
        </w:rPr>
        <w:t>Satya Prakash, et. al., 2022 Guidelines for Approval of Clinical Trials and Study Reports of SARS Covid-19 Vaccines. IJPRA, ISSN: 2456- 4494. 64. et al., S. P. (2019). FORMULATION AND</w:t>
      </w:r>
      <w:r>
        <w:rPr>
          <w:spacing w:val="44"/>
          <w:sz w:val="20"/>
        </w:rPr>
        <w:t xml:space="preserve"> </w:t>
      </w:r>
      <w:r>
        <w:rPr>
          <w:sz w:val="20"/>
        </w:rPr>
        <w:t>EVALUATION</w:t>
      </w:r>
      <w:r>
        <w:rPr>
          <w:spacing w:val="44"/>
          <w:sz w:val="20"/>
        </w:rPr>
        <w:t xml:space="preserve"> </w:t>
      </w:r>
      <w:r>
        <w:rPr>
          <w:sz w:val="20"/>
        </w:rPr>
        <w:t>OF</w:t>
      </w:r>
      <w:r>
        <w:rPr>
          <w:spacing w:val="40"/>
          <w:sz w:val="20"/>
        </w:rPr>
        <w:t xml:space="preserve"> </w:t>
      </w:r>
      <w:r>
        <w:rPr>
          <w:sz w:val="20"/>
        </w:rPr>
        <w:t>FLOATING</w:t>
      </w:r>
      <w:r>
        <w:rPr>
          <w:spacing w:val="40"/>
          <w:sz w:val="20"/>
        </w:rPr>
        <w:t xml:space="preserve"> </w:t>
      </w:r>
      <w:r>
        <w:rPr>
          <w:spacing w:val="-2"/>
          <w:sz w:val="20"/>
        </w:rPr>
        <w:t>TABLET</w:t>
      </w:r>
    </w:p>
    <w:p w14:paraId="75008484" w14:textId="77777777" w:rsidR="001B6ABB" w:rsidRDefault="00000000">
      <w:pPr>
        <w:pStyle w:val="BodyText"/>
        <w:ind w:right="115"/>
      </w:pPr>
      <w:r>
        <w:t>OF ZOLMITRIPTAN TABLET. International Journal of Advanced Science and Technology, 28(17), 82.</w:t>
      </w:r>
    </w:p>
    <w:p w14:paraId="2FE8A527" w14:textId="77777777" w:rsidR="001B6ABB" w:rsidRDefault="00000000">
      <w:pPr>
        <w:pStyle w:val="ListParagraph"/>
        <w:numPr>
          <w:ilvl w:val="0"/>
          <w:numId w:val="1"/>
        </w:numPr>
        <w:tabs>
          <w:tab w:val="left" w:pos="522"/>
        </w:tabs>
        <w:spacing w:before="0"/>
        <w:ind w:right="104" w:firstLine="0"/>
        <w:jc w:val="both"/>
        <w:rPr>
          <w:sz w:val="20"/>
        </w:rPr>
      </w:pPr>
      <w:r>
        <w:rPr>
          <w:sz w:val="20"/>
        </w:rPr>
        <w:t>Satya Prakash, et. al., 2023 Gold</w:t>
      </w:r>
      <w:r>
        <w:rPr>
          <w:spacing w:val="40"/>
          <w:sz w:val="20"/>
        </w:rPr>
        <w:t xml:space="preserve"> </w:t>
      </w:r>
      <w:r>
        <w:rPr>
          <w:sz w:val="20"/>
        </w:rPr>
        <w:t>Nanoparticles for Targeted and Selective Delivery of Cancer Chemotherapeutics: A Review of the Literature (Eur. Chem. Bull. 2023, 12 (Special</w:t>
      </w:r>
      <w:r>
        <w:rPr>
          <w:spacing w:val="40"/>
          <w:sz w:val="20"/>
        </w:rPr>
        <w:t xml:space="preserve"> </w:t>
      </w:r>
      <w:r>
        <w:rPr>
          <w:sz w:val="20"/>
        </w:rPr>
        <w:t>Issue 1), 2896-2901).</w:t>
      </w:r>
    </w:p>
    <w:p w14:paraId="0B14A3E9" w14:textId="77777777" w:rsidR="001B6ABB" w:rsidRDefault="00000000">
      <w:pPr>
        <w:pStyle w:val="ListParagraph"/>
        <w:numPr>
          <w:ilvl w:val="0"/>
          <w:numId w:val="1"/>
        </w:numPr>
        <w:tabs>
          <w:tab w:val="left" w:pos="522"/>
        </w:tabs>
        <w:spacing w:before="0"/>
        <w:ind w:right="112" w:firstLine="0"/>
        <w:jc w:val="both"/>
        <w:rPr>
          <w:sz w:val="20"/>
        </w:rPr>
      </w:pPr>
      <w:r>
        <w:rPr>
          <w:sz w:val="20"/>
        </w:rPr>
        <w:t>Formulation</w:t>
      </w:r>
      <w:r>
        <w:rPr>
          <w:spacing w:val="-3"/>
          <w:sz w:val="20"/>
        </w:rPr>
        <w:t xml:space="preserve"> </w:t>
      </w:r>
      <w:r>
        <w:rPr>
          <w:sz w:val="20"/>
        </w:rPr>
        <w:t>and</w:t>
      </w:r>
      <w:r>
        <w:rPr>
          <w:spacing w:val="-11"/>
          <w:sz w:val="20"/>
        </w:rPr>
        <w:t xml:space="preserve"> </w:t>
      </w:r>
      <w:r>
        <w:rPr>
          <w:sz w:val="20"/>
        </w:rPr>
        <w:t>Evaluation</w:t>
      </w:r>
      <w:r>
        <w:rPr>
          <w:spacing w:val="-3"/>
          <w:sz w:val="20"/>
        </w:rPr>
        <w:t xml:space="preserve"> </w:t>
      </w:r>
      <w:r>
        <w:rPr>
          <w:sz w:val="20"/>
        </w:rPr>
        <w:t>of</w:t>
      </w:r>
      <w:r>
        <w:rPr>
          <w:spacing w:val="-8"/>
          <w:sz w:val="20"/>
        </w:rPr>
        <w:t xml:space="preserve"> </w:t>
      </w:r>
      <w:r>
        <w:rPr>
          <w:sz w:val="20"/>
        </w:rPr>
        <w:t>Floating</w:t>
      </w:r>
      <w:r>
        <w:rPr>
          <w:spacing w:val="-8"/>
          <w:sz w:val="20"/>
        </w:rPr>
        <w:t xml:space="preserve"> </w:t>
      </w:r>
      <w:r>
        <w:rPr>
          <w:sz w:val="20"/>
        </w:rPr>
        <w:t>Tablet Zolmitriptan. (International Journal of Advanced Science</w:t>
      </w:r>
      <w:r>
        <w:rPr>
          <w:spacing w:val="37"/>
          <w:sz w:val="20"/>
        </w:rPr>
        <w:t xml:space="preserve"> </w:t>
      </w:r>
      <w:r>
        <w:rPr>
          <w:sz w:val="20"/>
        </w:rPr>
        <w:t>and</w:t>
      </w:r>
      <w:r>
        <w:rPr>
          <w:spacing w:val="36"/>
          <w:sz w:val="20"/>
        </w:rPr>
        <w:t xml:space="preserve"> </w:t>
      </w:r>
      <w:r>
        <w:rPr>
          <w:sz w:val="20"/>
        </w:rPr>
        <w:t>Technology</w:t>
      </w:r>
      <w:r>
        <w:rPr>
          <w:spacing w:val="34"/>
          <w:sz w:val="20"/>
        </w:rPr>
        <w:t xml:space="preserve"> </w:t>
      </w:r>
      <w:r>
        <w:rPr>
          <w:sz w:val="20"/>
        </w:rPr>
        <w:t>Vol.</w:t>
      </w:r>
      <w:r>
        <w:rPr>
          <w:spacing w:val="43"/>
          <w:sz w:val="20"/>
        </w:rPr>
        <w:t xml:space="preserve"> </w:t>
      </w:r>
      <w:r>
        <w:rPr>
          <w:sz w:val="20"/>
        </w:rPr>
        <w:t>28</w:t>
      </w:r>
      <w:r>
        <w:rPr>
          <w:spacing w:val="40"/>
          <w:sz w:val="20"/>
        </w:rPr>
        <w:t xml:space="preserve"> </w:t>
      </w:r>
      <w:r>
        <w:rPr>
          <w:sz w:val="20"/>
        </w:rPr>
        <w:t>No.</w:t>
      </w:r>
      <w:r>
        <w:rPr>
          <w:spacing w:val="43"/>
          <w:sz w:val="20"/>
        </w:rPr>
        <w:t xml:space="preserve"> </w:t>
      </w:r>
      <w:r>
        <w:rPr>
          <w:sz w:val="20"/>
        </w:rPr>
        <w:t>17</w:t>
      </w:r>
      <w:r>
        <w:rPr>
          <w:spacing w:val="41"/>
          <w:sz w:val="20"/>
        </w:rPr>
        <w:t xml:space="preserve"> </w:t>
      </w:r>
      <w:r>
        <w:rPr>
          <w:spacing w:val="-2"/>
          <w:sz w:val="20"/>
        </w:rPr>
        <w:t>(2019):</w:t>
      </w:r>
    </w:p>
    <w:p w14:paraId="31E0D3D9" w14:textId="77777777" w:rsidR="001B6ABB" w:rsidRDefault="00000000">
      <w:pPr>
        <w:pStyle w:val="BodyText"/>
      </w:pPr>
      <w:r>
        <w:t>Vol</w:t>
      </w:r>
      <w:r>
        <w:rPr>
          <w:spacing w:val="1"/>
        </w:rPr>
        <w:t xml:space="preserve"> </w:t>
      </w:r>
      <w:r>
        <w:t>28 No</w:t>
      </w:r>
      <w:r>
        <w:rPr>
          <w:spacing w:val="-5"/>
        </w:rPr>
        <w:t xml:space="preserve"> </w:t>
      </w:r>
      <w:r>
        <w:t>17</w:t>
      </w:r>
      <w:r>
        <w:rPr>
          <w:spacing w:val="-5"/>
        </w:rPr>
        <w:t xml:space="preserve"> </w:t>
      </w:r>
      <w:r>
        <w:rPr>
          <w:spacing w:val="-2"/>
        </w:rPr>
        <w:t>(2019)</w:t>
      </w:r>
    </w:p>
    <w:p w14:paraId="192BFA23" w14:textId="77777777" w:rsidR="001B6ABB" w:rsidRDefault="00000000">
      <w:pPr>
        <w:pStyle w:val="ListParagraph"/>
        <w:numPr>
          <w:ilvl w:val="0"/>
          <w:numId w:val="1"/>
        </w:numPr>
        <w:tabs>
          <w:tab w:val="left" w:pos="522"/>
        </w:tabs>
        <w:spacing w:before="157"/>
        <w:ind w:right="109" w:firstLine="0"/>
        <w:jc w:val="both"/>
        <w:rPr>
          <w:sz w:val="20"/>
        </w:rPr>
      </w:pPr>
      <w:r>
        <w:rPr>
          <w:sz w:val="20"/>
        </w:rPr>
        <w:t>Schmidt R, Schmidt H, Curb JD, et al. Early inflammation and dementia: A 25-year follow-up</w:t>
      </w:r>
      <w:r>
        <w:rPr>
          <w:spacing w:val="80"/>
          <w:sz w:val="20"/>
        </w:rPr>
        <w:t xml:space="preserve"> </w:t>
      </w:r>
      <w:r>
        <w:rPr>
          <w:sz w:val="20"/>
        </w:rPr>
        <w:t xml:space="preserve">of the Honolulu-Asia aging study. Ann. Neurol. </w:t>
      </w:r>
      <w:proofErr w:type="gramStart"/>
      <w:r>
        <w:rPr>
          <w:spacing w:val="-2"/>
          <w:sz w:val="20"/>
        </w:rPr>
        <w:t>2002;52:168</w:t>
      </w:r>
      <w:proofErr w:type="gramEnd"/>
      <w:r>
        <w:rPr>
          <w:spacing w:val="-2"/>
          <w:sz w:val="20"/>
        </w:rPr>
        <w:t>–174.</w:t>
      </w:r>
    </w:p>
    <w:p w14:paraId="4727BD13" w14:textId="77777777" w:rsidR="001B6ABB" w:rsidRDefault="00000000">
      <w:pPr>
        <w:pStyle w:val="ListParagraph"/>
        <w:numPr>
          <w:ilvl w:val="0"/>
          <w:numId w:val="1"/>
        </w:numPr>
        <w:tabs>
          <w:tab w:val="left" w:pos="522"/>
        </w:tabs>
        <w:spacing w:before="160"/>
        <w:ind w:right="115" w:firstLine="0"/>
        <w:jc w:val="both"/>
        <w:rPr>
          <w:sz w:val="20"/>
        </w:rPr>
      </w:pPr>
      <w:r>
        <w:rPr>
          <w:sz w:val="20"/>
        </w:rPr>
        <w:t>Teunissen CE, van Boxtel MPJ, Bosma H, et al. Inflammation markers in</w:t>
      </w:r>
      <w:r>
        <w:rPr>
          <w:spacing w:val="-2"/>
          <w:sz w:val="20"/>
        </w:rPr>
        <w:t xml:space="preserve"> </w:t>
      </w:r>
      <w:r>
        <w:rPr>
          <w:sz w:val="20"/>
        </w:rPr>
        <w:t>relation to</w:t>
      </w:r>
      <w:r>
        <w:rPr>
          <w:spacing w:val="-2"/>
          <w:sz w:val="20"/>
        </w:rPr>
        <w:t xml:space="preserve"> </w:t>
      </w:r>
      <w:r>
        <w:rPr>
          <w:sz w:val="20"/>
        </w:rPr>
        <w:t xml:space="preserve">cognition in a healthy aging population. J. </w:t>
      </w:r>
      <w:proofErr w:type="spellStart"/>
      <w:r>
        <w:rPr>
          <w:sz w:val="20"/>
        </w:rPr>
        <w:t>Neuroimmunol</w:t>
      </w:r>
      <w:proofErr w:type="spellEnd"/>
      <w:r>
        <w:rPr>
          <w:sz w:val="20"/>
        </w:rPr>
        <w:t xml:space="preserve">. </w:t>
      </w:r>
      <w:proofErr w:type="gramStart"/>
      <w:r>
        <w:rPr>
          <w:spacing w:val="-2"/>
          <w:sz w:val="20"/>
        </w:rPr>
        <w:t>2003;134:142</w:t>
      </w:r>
      <w:proofErr w:type="gramEnd"/>
      <w:r>
        <w:rPr>
          <w:spacing w:val="-2"/>
          <w:sz w:val="20"/>
        </w:rPr>
        <w:t>–150.</w:t>
      </w:r>
    </w:p>
    <w:p w14:paraId="5A8D49C2" w14:textId="77777777" w:rsidR="001B6ABB" w:rsidRDefault="00000000">
      <w:pPr>
        <w:pStyle w:val="ListParagraph"/>
        <w:numPr>
          <w:ilvl w:val="0"/>
          <w:numId w:val="1"/>
        </w:numPr>
        <w:tabs>
          <w:tab w:val="left" w:pos="522"/>
        </w:tabs>
        <w:ind w:right="108" w:firstLine="0"/>
        <w:jc w:val="both"/>
        <w:rPr>
          <w:sz w:val="20"/>
        </w:rPr>
      </w:pPr>
      <w:r>
        <w:rPr>
          <w:sz w:val="20"/>
        </w:rPr>
        <w:t xml:space="preserve">Banks WA, Farr SA, La Scola ME, et al. Intravenous human interleukin-1alpha impairs memory processing in mice: </w:t>
      </w:r>
      <w:proofErr w:type="spellStart"/>
      <w:r>
        <w:rPr>
          <w:sz w:val="20"/>
        </w:rPr>
        <w:t>depen</w:t>
      </w:r>
      <w:proofErr w:type="spellEnd"/>
      <w:r>
        <w:rPr>
          <w:sz w:val="20"/>
        </w:rPr>
        <w:t xml:space="preserve">- </w:t>
      </w:r>
      <w:proofErr w:type="spellStart"/>
      <w:r>
        <w:rPr>
          <w:sz w:val="20"/>
        </w:rPr>
        <w:t>dence</w:t>
      </w:r>
      <w:proofErr w:type="spellEnd"/>
      <w:r>
        <w:rPr>
          <w:sz w:val="20"/>
        </w:rPr>
        <w:t xml:space="preserve"> on</w:t>
      </w:r>
      <w:r>
        <w:rPr>
          <w:spacing w:val="40"/>
          <w:sz w:val="20"/>
        </w:rPr>
        <w:t xml:space="preserve"> </w:t>
      </w:r>
      <w:r>
        <w:rPr>
          <w:sz w:val="20"/>
        </w:rPr>
        <w:t xml:space="preserve">blood-brain barrier transport into posterior division of the septum. J. </w:t>
      </w:r>
      <w:proofErr w:type="spellStart"/>
      <w:r>
        <w:rPr>
          <w:sz w:val="20"/>
        </w:rPr>
        <w:t>Pharmacol</w:t>
      </w:r>
      <w:proofErr w:type="spellEnd"/>
      <w:r>
        <w:rPr>
          <w:sz w:val="20"/>
        </w:rPr>
        <w:t xml:space="preserve">. Exp. Ther. </w:t>
      </w:r>
      <w:proofErr w:type="gramStart"/>
      <w:r>
        <w:rPr>
          <w:spacing w:val="-2"/>
          <w:sz w:val="20"/>
        </w:rPr>
        <w:t>2001;299:536</w:t>
      </w:r>
      <w:proofErr w:type="gramEnd"/>
      <w:r>
        <w:rPr>
          <w:spacing w:val="-2"/>
          <w:sz w:val="20"/>
        </w:rPr>
        <w:t>–541.</w:t>
      </w:r>
    </w:p>
    <w:p w14:paraId="795378BB" w14:textId="77777777" w:rsidR="001B6ABB" w:rsidRDefault="00000000">
      <w:pPr>
        <w:pStyle w:val="ListParagraph"/>
        <w:numPr>
          <w:ilvl w:val="0"/>
          <w:numId w:val="1"/>
        </w:numPr>
        <w:tabs>
          <w:tab w:val="left" w:pos="522"/>
        </w:tabs>
        <w:ind w:right="111" w:firstLine="0"/>
        <w:jc w:val="both"/>
        <w:rPr>
          <w:sz w:val="20"/>
        </w:rPr>
      </w:pPr>
      <w:r>
        <w:rPr>
          <w:sz w:val="20"/>
        </w:rPr>
        <w:t>Jiang</w:t>
      </w:r>
      <w:r>
        <w:rPr>
          <w:spacing w:val="-6"/>
          <w:sz w:val="20"/>
        </w:rPr>
        <w:t xml:space="preserve"> </w:t>
      </w:r>
      <w:r>
        <w:rPr>
          <w:sz w:val="20"/>
        </w:rPr>
        <w:t>Q, Li</w:t>
      </w:r>
      <w:r>
        <w:rPr>
          <w:spacing w:val="-4"/>
          <w:sz w:val="20"/>
        </w:rPr>
        <w:t xml:space="preserve"> </w:t>
      </w:r>
      <w:r>
        <w:rPr>
          <w:sz w:val="20"/>
        </w:rPr>
        <w:t>W,</w:t>
      </w:r>
      <w:r>
        <w:rPr>
          <w:spacing w:val="-4"/>
          <w:sz w:val="20"/>
        </w:rPr>
        <w:t xml:space="preserve"> </w:t>
      </w:r>
      <w:r>
        <w:rPr>
          <w:sz w:val="20"/>
        </w:rPr>
        <w:t>Sun J, et</w:t>
      </w:r>
      <w:r>
        <w:rPr>
          <w:spacing w:val="-4"/>
          <w:sz w:val="20"/>
        </w:rPr>
        <w:t xml:space="preserve"> </w:t>
      </w:r>
      <w:r>
        <w:rPr>
          <w:sz w:val="20"/>
        </w:rPr>
        <w:t>al.</w:t>
      </w:r>
      <w:r>
        <w:rPr>
          <w:spacing w:val="-4"/>
          <w:sz w:val="20"/>
        </w:rPr>
        <w:t xml:space="preserve"> </w:t>
      </w:r>
      <w:r>
        <w:rPr>
          <w:sz w:val="20"/>
        </w:rPr>
        <w:t>Inhibitory</w:t>
      </w:r>
      <w:r>
        <w:rPr>
          <w:spacing w:val="-11"/>
          <w:sz w:val="20"/>
        </w:rPr>
        <w:t xml:space="preserve"> </w:t>
      </w:r>
      <w:r>
        <w:rPr>
          <w:sz w:val="20"/>
        </w:rPr>
        <w:t xml:space="preserve">effect of estrogen receptor beta on P2X3 receptors during inflammation in rats. Purinergic Signal. </w:t>
      </w:r>
      <w:proofErr w:type="gramStart"/>
      <w:r>
        <w:rPr>
          <w:spacing w:val="-2"/>
          <w:sz w:val="20"/>
        </w:rPr>
        <w:t>2017;13:105</w:t>
      </w:r>
      <w:proofErr w:type="gramEnd"/>
      <w:r>
        <w:rPr>
          <w:spacing w:val="-2"/>
          <w:sz w:val="20"/>
        </w:rPr>
        <w:t>–117.</w:t>
      </w:r>
    </w:p>
    <w:p w14:paraId="124B954C" w14:textId="77777777" w:rsidR="001B6ABB" w:rsidRDefault="00000000">
      <w:pPr>
        <w:pStyle w:val="ListParagraph"/>
        <w:numPr>
          <w:ilvl w:val="0"/>
          <w:numId w:val="1"/>
        </w:numPr>
        <w:tabs>
          <w:tab w:val="left" w:pos="522"/>
        </w:tabs>
        <w:spacing w:before="160"/>
        <w:ind w:right="105" w:firstLine="0"/>
        <w:jc w:val="both"/>
        <w:rPr>
          <w:sz w:val="20"/>
        </w:rPr>
      </w:pPr>
      <w:r>
        <w:rPr>
          <w:sz w:val="20"/>
        </w:rPr>
        <w:t xml:space="preserve">Cipolla MJ, Godfrey JA, Wiegman MJ. The effect of ovariectomy and estrogen on penetrating brain arterioles and blood-brain bar- </w:t>
      </w:r>
      <w:proofErr w:type="spellStart"/>
      <w:r>
        <w:rPr>
          <w:sz w:val="20"/>
        </w:rPr>
        <w:t>rier</w:t>
      </w:r>
      <w:proofErr w:type="spellEnd"/>
      <w:r>
        <w:rPr>
          <w:sz w:val="20"/>
        </w:rPr>
        <w:t xml:space="preserve"> permeability. Microcirculation. </w:t>
      </w:r>
      <w:proofErr w:type="gramStart"/>
      <w:r>
        <w:rPr>
          <w:sz w:val="20"/>
        </w:rPr>
        <w:t>2009;16:685</w:t>
      </w:r>
      <w:proofErr w:type="gramEnd"/>
      <w:r>
        <w:rPr>
          <w:sz w:val="20"/>
        </w:rPr>
        <w:t>–693.</w:t>
      </w:r>
    </w:p>
    <w:p w14:paraId="78AB45B8" w14:textId="77777777" w:rsidR="001B6ABB" w:rsidRDefault="00000000">
      <w:pPr>
        <w:pStyle w:val="ListParagraph"/>
        <w:numPr>
          <w:ilvl w:val="0"/>
          <w:numId w:val="1"/>
        </w:numPr>
        <w:tabs>
          <w:tab w:val="left" w:pos="522"/>
        </w:tabs>
        <w:ind w:right="111" w:firstLine="0"/>
        <w:jc w:val="both"/>
        <w:rPr>
          <w:sz w:val="20"/>
        </w:rPr>
      </w:pPr>
      <w:r>
        <w:rPr>
          <w:sz w:val="20"/>
        </w:rPr>
        <w:t xml:space="preserve">Brown CM, Mulcahey TA, Filipek NC, et al. Production of pro- inflammatory cytokines and chemokines during </w:t>
      </w:r>
      <w:proofErr w:type="spellStart"/>
      <w:r>
        <w:rPr>
          <w:sz w:val="20"/>
        </w:rPr>
        <w:t>neuroinflamma</w:t>
      </w:r>
      <w:proofErr w:type="spellEnd"/>
      <w:r>
        <w:rPr>
          <w:sz w:val="20"/>
        </w:rPr>
        <w:t xml:space="preserve">- </w:t>
      </w:r>
      <w:proofErr w:type="spellStart"/>
      <w:r>
        <w:rPr>
          <w:sz w:val="20"/>
        </w:rPr>
        <w:t>tion</w:t>
      </w:r>
      <w:proofErr w:type="spellEnd"/>
      <w:r>
        <w:rPr>
          <w:sz w:val="20"/>
        </w:rPr>
        <w:t xml:space="preserve">: novel roles for estrogen receptors alpha and beta. Endocrinology. </w:t>
      </w:r>
      <w:proofErr w:type="gramStart"/>
      <w:r>
        <w:rPr>
          <w:sz w:val="20"/>
        </w:rPr>
        <w:t>2010;151:4916</w:t>
      </w:r>
      <w:proofErr w:type="gramEnd"/>
      <w:r>
        <w:rPr>
          <w:sz w:val="20"/>
        </w:rPr>
        <w:t>–4925.</w:t>
      </w:r>
    </w:p>
    <w:p w14:paraId="5D9E9E20" w14:textId="77777777" w:rsidR="001B6ABB" w:rsidRDefault="00000000">
      <w:pPr>
        <w:pStyle w:val="ListParagraph"/>
        <w:numPr>
          <w:ilvl w:val="0"/>
          <w:numId w:val="1"/>
        </w:numPr>
        <w:tabs>
          <w:tab w:val="left" w:pos="522"/>
        </w:tabs>
        <w:ind w:right="110" w:firstLine="0"/>
        <w:jc w:val="both"/>
        <w:rPr>
          <w:sz w:val="20"/>
        </w:rPr>
      </w:pPr>
      <w:proofErr w:type="spellStart"/>
      <w:r>
        <w:rPr>
          <w:sz w:val="20"/>
        </w:rPr>
        <w:t>Pfeilschifter</w:t>
      </w:r>
      <w:proofErr w:type="spellEnd"/>
      <w:r>
        <w:rPr>
          <w:sz w:val="20"/>
        </w:rPr>
        <w:t xml:space="preserve"> J, </w:t>
      </w:r>
      <w:proofErr w:type="spellStart"/>
      <w:r>
        <w:rPr>
          <w:sz w:val="20"/>
        </w:rPr>
        <w:t>Köditz</w:t>
      </w:r>
      <w:proofErr w:type="spellEnd"/>
      <w:r>
        <w:rPr>
          <w:sz w:val="20"/>
        </w:rPr>
        <w:t xml:space="preserve"> R, Pfohl M, et al. Changes in Proinflammatory Cytokine Activity after Menopause. </w:t>
      </w:r>
      <w:proofErr w:type="spellStart"/>
      <w:r>
        <w:rPr>
          <w:sz w:val="20"/>
        </w:rPr>
        <w:t>Endocr</w:t>
      </w:r>
      <w:proofErr w:type="spellEnd"/>
      <w:r>
        <w:rPr>
          <w:sz w:val="20"/>
        </w:rPr>
        <w:t xml:space="preserve">. Rev. </w:t>
      </w:r>
      <w:proofErr w:type="gramStart"/>
      <w:r>
        <w:rPr>
          <w:sz w:val="20"/>
        </w:rPr>
        <w:t>2002;23:90</w:t>
      </w:r>
      <w:proofErr w:type="gramEnd"/>
      <w:r>
        <w:rPr>
          <w:sz w:val="20"/>
        </w:rPr>
        <w:t>–119.</w:t>
      </w:r>
    </w:p>
    <w:p w14:paraId="29251C40" w14:textId="77777777" w:rsidR="001B6ABB" w:rsidRDefault="001B6ABB">
      <w:pPr>
        <w:jc w:val="both"/>
        <w:rPr>
          <w:sz w:val="20"/>
        </w:rPr>
        <w:sectPr w:rsidR="001B6ABB">
          <w:pgSz w:w="11910" w:h="16840"/>
          <w:pgMar w:top="1660" w:right="1320" w:bottom="920" w:left="1340" w:header="1284" w:footer="721" w:gutter="0"/>
          <w:cols w:num="2" w:space="720" w:equalWidth="0">
            <w:col w:w="4309" w:space="560"/>
            <w:col w:w="4381"/>
          </w:cols>
        </w:sectPr>
      </w:pPr>
    </w:p>
    <w:p w14:paraId="0FB988F0" w14:textId="77777777" w:rsidR="001B6ABB" w:rsidRDefault="00000000">
      <w:pPr>
        <w:pStyle w:val="ListParagraph"/>
        <w:numPr>
          <w:ilvl w:val="0"/>
          <w:numId w:val="1"/>
        </w:numPr>
        <w:tabs>
          <w:tab w:val="left" w:pos="522"/>
        </w:tabs>
        <w:spacing w:before="83"/>
        <w:ind w:right="39" w:firstLine="0"/>
        <w:jc w:val="both"/>
        <w:rPr>
          <w:sz w:val="20"/>
        </w:rPr>
      </w:pPr>
      <w:proofErr w:type="spellStart"/>
      <w:r>
        <w:rPr>
          <w:sz w:val="20"/>
        </w:rPr>
        <w:lastRenderedPageBreak/>
        <w:t>Störk</w:t>
      </w:r>
      <w:proofErr w:type="spellEnd"/>
      <w:r>
        <w:rPr>
          <w:spacing w:val="-5"/>
          <w:sz w:val="20"/>
        </w:rPr>
        <w:t xml:space="preserve"> </w:t>
      </w:r>
      <w:r>
        <w:rPr>
          <w:sz w:val="20"/>
        </w:rPr>
        <w:t>S,</w:t>
      </w:r>
      <w:r>
        <w:rPr>
          <w:spacing w:val="-3"/>
          <w:sz w:val="20"/>
        </w:rPr>
        <w:t xml:space="preserve"> </w:t>
      </w:r>
      <w:r>
        <w:rPr>
          <w:sz w:val="20"/>
        </w:rPr>
        <w:t>von Schacky</w:t>
      </w:r>
      <w:r>
        <w:rPr>
          <w:spacing w:val="-13"/>
          <w:sz w:val="20"/>
        </w:rPr>
        <w:t xml:space="preserve"> </w:t>
      </w:r>
      <w:r>
        <w:rPr>
          <w:sz w:val="20"/>
        </w:rPr>
        <w:t>C,</w:t>
      </w:r>
      <w:r>
        <w:rPr>
          <w:spacing w:val="-3"/>
          <w:sz w:val="20"/>
        </w:rPr>
        <w:t xml:space="preserve"> </w:t>
      </w:r>
      <w:r>
        <w:rPr>
          <w:sz w:val="20"/>
        </w:rPr>
        <w:t>Angerer P.</w:t>
      </w:r>
      <w:r>
        <w:rPr>
          <w:spacing w:val="-7"/>
          <w:sz w:val="20"/>
        </w:rPr>
        <w:t xml:space="preserve"> </w:t>
      </w:r>
      <w:r>
        <w:rPr>
          <w:sz w:val="20"/>
        </w:rPr>
        <w:t>The</w:t>
      </w:r>
      <w:r>
        <w:rPr>
          <w:spacing w:val="-7"/>
          <w:sz w:val="20"/>
        </w:rPr>
        <w:t xml:space="preserve"> </w:t>
      </w:r>
      <w:r>
        <w:rPr>
          <w:sz w:val="20"/>
        </w:rPr>
        <w:t>effect of 17beta-estradiol on endothelial and</w:t>
      </w:r>
      <w:r>
        <w:rPr>
          <w:spacing w:val="40"/>
          <w:sz w:val="20"/>
        </w:rPr>
        <w:t xml:space="preserve"> </w:t>
      </w:r>
      <w:r>
        <w:rPr>
          <w:sz w:val="20"/>
        </w:rPr>
        <w:t>inflammatory markers in postmenopausal women:</w:t>
      </w:r>
      <w:r>
        <w:rPr>
          <w:spacing w:val="80"/>
          <w:sz w:val="20"/>
        </w:rPr>
        <w:t xml:space="preserve"> </w:t>
      </w:r>
      <w:r>
        <w:rPr>
          <w:sz w:val="20"/>
        </w:rPr>
        <w:t xml:space="preserve">a randomized, controlled trial. Atherosclerosis. </w:t>
      </w:r>
      <w:proofErr w:type="gramStart"/>
      <w:r>
        <w:rPr>
          <w:spacing w:val="-2"/>
          <w:sz w:val="20"/>
        </w:rPr>
        <w:t>2002;165:301</w:t>
      </w:r>
      <w:proofErr w:type="gramEnd"/>
      <w:r>
        <w:rPr>
          <w:spacing w:val="-2"/>
          <w:sz w:val="20"/>
        </w:rPr>
        <w:t>–307.</w:t>
      </w:r>
    </w:p>
    <w:p w14:paraId="5BC70FD1" w14:textId="77777777" w:rsidR="001B6ABB" w:rsidRDefault="00000000">
      <w:pPr>
        <w:pStyle w:val="ListParagraph"/>
        <w:numPr>
          <w:ilvl w:val="0"/>
          <w:numId w:val="1"/>
        </w:numPr>
        <w:tabs>
          <w:tab w:val="left" w:pos="522"/>
        </w:tabs>
        <w:ind w:right="39" w:firstLine="0"/>
        <w:jc w:val="both"/>
        <w:rPr>
          <w:sz w:val="20"/>
        </w:rPr>
      </w:pPr>
      <w:r>
        <w:rPr>
          <w:sz w:val="20"/>
        </w:rPr>
        <w:t xml:space="preserve">Kalyan S, Hitchcock CL, </w:t>
      </w:r>
      <w:proofErr w:type="spellStart"/>
      <w:r>
        <w:rPr>
          <w:sz w:val="20"/>
        </w:rPr>
        <w:t>Pudek</w:t>
      </w:r>
      <w:proofErr w:type="spellEnd"/>
      <w:r>
        <w:rPr>
          <w:sz w:val="20"/>
        </w:rPr>
        <w:t xml:space="preserve"> M, et al. Acute Effects of Premenopausal Hysterectomy</w:t>
      </w:r>
      <w:r>
        <w:rPr>
          <w:spacing w:val="80"/>
          <w:sz w:val="20"/>
        </w:rPr>
        <w:t xml:space="preserve"> </w:t>
      </w:r>
      <w:r>
        <w:rPr>
          <w:sz w:val="20"/>
        </w:rPr>
        <w:t xml:space="preserve">with Bilateral Oophorectomy on Serum Lipids, Hormonal Values, Inflammatory Markers, and Metabolism. J. Gynecol. Surg. </w:t>
      </w:r>
      <w:proofErr w:type="gramStart"/>
      <w:r>
        <w:rPr>
          <w:sz w:val="20"/>
        </w:rPr>
        <w:t>2011;27:9</w:t>
      </w:r>
      <w:proofErr w:type="gramEnd"/>
      <w:r>
        <w:rPr>
          <w:sz w:val="20"/>
        </w:rPr>
        <w:t>–15.</w:t>
      </w:r>
    </w:p>
    <w:p w14:paraId="7EB69A57" w14:textId="77777777" w:rsidR="001B6ABB" w:rsidRDefault="00000000">
      <w:pPr>
        <w:pStyle w:val="ListParagraph"/>
        <w:numPr>
          <w:ilvl w:val="0"/>
          <w:numId w:val="1"/>
        </w:numPr>
        <w:tabs>
          <w:tab w:val="left" w:pos="522"/>
        </w:tabs>
        <w:ind w:right="40" w:firstLine="0"/>
        <w:jc w:val="both"/>
        <w:rPr>
          <w:sz w:val="20"/>
        </w:rPr>
      </w:pPr>
      <w:proofErr w:type="spellStart"/>
      <w:r>
        <w:rPr>
          <w:sz w:val="20"/>
        </w:rPr>
        <w:t>Calsolaro</w:t>
      </w:r>
      <w:proofErr w:type="spellEnd"/>
      <w:r>
        <w:rPr>
          <w:sz w:val="20"/>
        </w:rPr>
        <w:t xml:space="preserve"> V, Edison P. Neuroinflammation in Alzheimer’s disease: Current evidence and future directions. Alzheimer’s</w:t>
      </w:r>
      <w:r>
        <w:rPr>
          <w:spacing w:val="-2"/>
          <w:sz w:val="20"/>
        </w:rPr>
        <w:t xml:space="preserve"> </w:t>
      </w:r>
      <w:r>
        <w:rPr>
          <w:sz w:val="20"/>
        </w:rPr>
        <w:t xml:space="preserve">Dement. </w:t>
      </w:r>
      <w:proofErr w:type="gramStart"/>
      <w:r>
        <w:rPr>
          <w:sz w:val="20"/>
        </w:rPr>
        <w:t>2016;12:719</w:t>
      </w:r>
      <w:proofErr w:type="gramEnd"/>
      <w:r>
        <w:rPr>
          <w:sz w:val="20"/>
        </w:rPr>
        <w:t>–732.</w:t>
      </w:r>
    </w:p>
    <w:p w14:paraId="3E4BFE81" w14:textId="77777777" w:rsidR="001B6ABB" w:rsidRDefault="00000000">
      <w:pPr>
        <w:pStyle w:val="ListParagraph"/>
        <w:numPr>
          <w:ilvl w:val="0"/>
          <w:numId w:val="1"/>
        </w:numPr>
        <w:tabs>
          <w:tab w:val="left" w:pos="522"/>
        </w:tabs>
        <w:spacing w:before="159"/>
        <w:ind w:right="39" w:firstLine="0"/>
        <w:jc w:val="both"/>
        <w:rPr>
          <w:sz w:val="20"/>
        </w:rPr>
      </w:pPr>
      <w:r>
        <w:rPr>
          <w:sz w:val="20"/>
        </w:rPr>
        <w:t xml:space="preserve">Glass CK, Saijo K, Winner B, et al. Mechanisms underlying in- </w:t>
      </w:r>
      <w:proofErr w:type="spellStart"/>
      <w:r>
        <w:rPr>
          <w:sz w:val="20"/>
        </w:rPr>
        <w:t>flammation</w:t>
      </w:r>
      <w:proofErr w:type="spellEnd"/>
      <w:r>
        <w:rPr>
          <w:sz w:val="20"/>
        </w:rPr>
        <w:t xml:space="preserve"> in neurodegeneration. Cell. </w:t>
      </w:r>
      <w:proofErr w:type="gramStart"/>
      <w:r>
        <w:rPr>
          <w:sz w:val="20"/>
        </w:rPr>
        <w:t>2010;140:918</w:t>
      </w:r>
      <w:proofErr w:type="gramEnd"/>
      <w:r>
        <w:rPr>
          <w:sz w:val="20"/>
        </w:rPr>
        <w:t>–934.</w:t>
      </w:r>
    </w:p>
    <w:p w14:paraId="046F814B" w14:textId="77777777" w:rsidR="001B6ABB" w:rsidRDefault="00000000">
      <w:pPr>
        <w:pStyle w:val="ListParagraph"/>
        <w:numPr>
          <w:ilvl w:val="0"/>
          <w:numId w:val="1"/>
        </w:numPr>
        <w:tabs>
          <w:tab w:val="left" w:pos="522"/>
        </w:tabs>
        <w:ind w:right="39" w:firstLine="0"/>
        <w:jc w:val="both"/>
        <w:rPr>
          <w:sz w:val="20"/>
        </w:rPr>
      </w:pPr>
      <w:r>
        <w:rPr>
          <w:sz w:val="20"/>
        </w:rPr>
        <w:t>Shumaker SA, Legault C, Kuller L, et al. Conjugated Equine Estrogens and Incidence of Probable</w:t>
      </w:r>
      <w:r>
        <w:rPr>
          <w:spacing w:val="-2"/>
          <w:sz w:val="20"/>
        </w:rPr>
        <w:t xml:space="preserve"> </w:t>
      </w:r>
      <w:r>
        <w:rPr>
          <w:sz w:val="20"/>
        </w:rPr>
        <w:t>Dementia</w:t>
      </w:r>
      <w:r>
        <w:rPr>
          <w:spacing w:val="-2"/>
          <w:sz w:val="20"/>
        </w:rPr>
        <w:t xml:space="preserve"> </w:t>
      </w:r>
      <w:r>
        <w:rPr>
          <w:sz w:val="20"/>
        </w:rPr>
        <w:t>and</w:t>
      </w:r>
      <w:r>
        <w:rPr>
          <w:spacing w:val="-4"/>
          <w:sz w:val="20"/>
        </w:rPr>
        <w:t xml:space="preserve"> </w:t>
      </w:r>
      <w:r>
        <w:rPr>
          <w:sz w:val="20"/>
        </w:rPr>
        <w:t>Mild</w:t>
      </w:r>
      <w:r>
        <w:rPr>
          <w:spacing w:val="-4"/>
          <w:sz w:val="20"/>
        </w:rPr>
        <w:t xml:space="preserve"> </w:t>
      </w:r>
      <w:r>
        <w:rPr>
          <w:sz w:val="20"/>
        </w:rPr>
        <w:t>Cognitive</w:t>
      </w:r>
      <w:r>
        <w:rPr>
          <w:spacing w:val="-2"/>
          <w:sz w:val="20"/>
        </w:rPr>
        <w:t xml:space="preserve"> </w:t>
      </w:r>
      <w:r>
        <w:rPr>
          <w:sz w:val="20"/>
        </w:rPr>
        <w:t xml:space="preserve">Impairment in Postmenopausal Women: Women’s Health Initiative Memory Study. JAMA. </w:t>
      </w:r>
      <w:proofErr w:type="gramStart"/>
      <w:r>
        <w:rPr>
          <w:sz w:val="20"/>
        </w:rPr>
        <w:t>2004;291:2947</w:t>
      </w:r>
      <w:proofErr w:type="gramEnd"/>
      <w:r>
        <w:rPr>
          <w:sz w:val="20"/>
        </w:rPr>
        <w:t>.</w:t>
      </w:r>
    </w:p>
    <w:p w14:paraId="44BFD956" w14:textId="77777777" w:rsidR="001B6ABB" w:rsidRDefault="00000000">
      <w:pPr>
        <w:pStyle w:val="ListParagraph"/>
        <w:numPr>
          <w:ilvl w:val="0"/>
          <w:numId w:val="1"/>
        </w:numPr>
        <w:tabs>
          <w:tab w:val="left" w:pos="522"/>
        </w:tabs>
        <w:spacing w:before="160"/>
        <w:ind w:right="39" w:firstLine="0"/>
        <w:jc w:val="both"/>
        <w:rPr>
          <w:sz w:val="20"/>
        </w:rPr>
      </w:pPr>
      <w:r>
        <w:rPr>
          <w:sz w:val="20"/>
        </w:rPr>
        <w:t>Espeland MA, Rapp SR, Shumaker SA, et al. Conjugated</w:t>
      </w:r>
      <w:r>
        <w:rPr>
          <w:spacing w:val="-7"/>
          <w:sz w:val="20"/>
        </w:rPr>
        <w:t xml:space="preserve"> </w:t>
      </w:r>
      <w:r>
        <w:rPr>
          <w:sz w:val="20"/>
        </w:rPr>
        <w:t>Equine</w:t>
      </w:r>
      <w:r>
        <w:rPr>
          <w:spacing w:val="-10"/>
          <w:sz w:val="20"/>
        </w:rPr>
        <w:t xml:space="preserve"> </w:t>
      </w:r>
      <w:r>
        <w:rPr>
          <w:sz w:val="20"/>
        </w:rPr>
        <w:t>Estrogens</w:t>
      </w:r>
      <w:r>
        <w:rPr>
          <w:spacing w:val="-8"/>
          <w:sz w:val="20"/>
        </w:rPr>
        <w:t xml:space="preserve"> </w:t>
      </w:r>
      <w:r>
        <w:rPr>
          <w:sz w:val="20"/>
        </w:rPr>
        <w:t>and</w:t>
      </w:r>
      <w:r>
        <w:rPr>
          <w:spacing w:val="-2"/>
          <w:sz w:val="20"/>
        </w:rPr>
        <w:t xml:space="preserve"> </w:t>
      </w:r>
      <w:r>
        <w:rPr>
          <w:sz w:val="20"/>
        </w:rPr>
        <w:t xml:space="preserve">Global Cognitive Function in Postmenopausal Women: Women’s Health Initiative Memory Study. JAMA. </w:t>
      </w:r>
      <w:proofErr w:type="gramStart"/>
      <w:r>
        <w:rPr>
          <w:spacing w:val="-2"/>
          <w:sz w:val="20"/>
        </w:rPr>
        <w:t>2004;291:2959</w:t>
      </w:r>
      <w:proofErr w:type="gramEnd"/>
      <w:r>
        <w:rPr>
          <w:spacing w:val="-2"/>
          <w:sz w:val="20"/>
        </w:rPr>
        <w:t>.</w:t>
      </w:r>
    </w:p>
    <w:p w14:paraId="0F018FD6" w14:textId="77777777" w:rsidR="001B6ABB" w:rsidRDefault="00000000">
      <w:pPr>
        <w:pStyle w:val="ListParagraph"/>
        <w:numPr>
          <w:ilvl w:val="0"/>
          <w:numId w:val="1"/>
        </w:numPr>
        <w:tabs>
          <w:tab w:val="left" w:pos="522"/>
        </w:tabs>
        <w:ind w:right="42" w:firstLine="0"/>
        <w:jc w:val="both"/>
        <w:rPr>
          <w:sz w:val="20"/>
        </w:rPr>
      </w:pPr>
      <w:r>
        <w:rPr>
          <w:sz w:val="20"/>
        </w:rPr>
        <w:t xml:space="preserve">Sherwin BB. Estrogen therapy: is time of initiation critical for neuroprotection? Nat. Rev. Endocrinol. </w:t>
      </w:r>
      <w:proofErr w:type="gramStart"/>
      <w:r>
        <w:rPr>
          <w:sz w:val="20"/>
        </w:rPr>
        <w:t>2009;5:620</w:t>
      </w:r>
      <w:proofErr w:type="gramEnd"/>
      <w:r>
        <w:rPr>
          <w:sz w:val="20"/>
        </w:rPr>
        <w:t>–627.</w:t>
      </w:r>
    </w:p>
    <w:p w14:paraId="49F7C52E" w14:textId="77777777" w:rsidR="001B6ABB" w:rsidRDefault="00000000">
      <w:pPr>
        <w:pStyle w:val="ListParagraph"/>
        <w:numPr>
          <w:ilvl w:val="0"/>
          <w:numId w:val="1"/>
        </w:numPr>
        <w:tabs>
          <w:tab w:val="left" w:pos="522"/>
        </w:tabs>
        <w:spacing w:before="160"/>
        <w:ind w:firstLine="0"/>
        <w:jc w:val="both"/>
        <w:rPr>
          <w:sz w:val="20"/>
        </w:rPr>
      </w:pPr>
      <w:r>
        <w:rPr>
          <w:sz w:val="20"/>
        </w:rPr>
        <w:t xml:space="preserve">Maki PM, </w:t>
      </w:r>
      <w:proofErr w:type="spellStart"/>
      <w:r>
        <w:rPr>
          <w:sz w:val="20"/>
        </w:rPr>
        <w:t>Zonderman</w:t>
      </w:r>
      <w:proofErr w:type="spellEnd"/>
      <w:r>
        <w:rPr>
          <w:sz w:val="20"/>
        </w:rPr>
        <w:t xml:space="preserve"> AB, Resnick SM. Enhanced</w:t>
      </w:r>
      <w:r>
        <w:rPr>
          <w:spacing w:val="-1"/>
          <w:sz w:val="20"/>
        </w:rPr>
        <w:t xml:space="preserve"> </w:t>
      </w:r>
      <w:r>
        <w:rPr>
          <w:sz w:val="20"/>
        </w:rPr>
        <w:t>Verbal</w:t>
      </w:r>
      <w:r>
        <w:rPr>
          <w:spacing w:val="-3"/>
          <w:sz w:val="20"/>
        </w:rPr>
        <w:t xml:space="preserve"> </w:t>
      </w:r>
      <w:r>
        <w:rPr>
          <w:sz w:val="20"/>
        </w:rPr>
        <w:t>Memory</w:t>
      </w:r>
      <w:r>
        <w:rPr>
          <w:spacing w:val="-9"/>
          <w:sz w:val="20"/>
        </w:rPr>
        <w:t xml:space="preserve"> </w:t>
      </w:r>
      <w:r>
        <w:rPr>
          <w:sz w:val="20"/>
        </w:rPr>
        <w:t>in Nondemented</w:t>
      </w:r>
      <w:r>
        <w:rPr>
          <w:spacing w:val="-5"/>
          <w:sz w:val="20"/>
        </w:rPr>
        <w:t xml:space="preserve"> </w:t>
      </w:r>
      <w:r>
        <w:rPr>
          <w:sz w:val="20"/>
        </w:rPr>
        <w:t xml:space="preserve">Elderly Women Receiving Hormone- Replacement Therapy. Am. J. Psychiatry. </w:t>
      </w:r>
      <w:proofErr w:type="gramStart"/>
      <w:r>
        <w:rPr>
          <w:sz w:val="20"/>
        </w:rPr>
        <w:t>2001;158:227</w:t>
      </w:r>
      <w:proofErr w:type="gramEnd"/>
      <w:r>
        <w:rPr>
          <w:sz w:val="20"/>
        </w:rPr>
        <w:t>–233.</w:t>
      </w:r>
    </w:p>
    <w:p w14:paraId="415457A4" w14:textId="77777777" w:rsidR="001B6ABB" w:rsidRDefault="00000000">
      <w:pPr>
        <w:pStyle w:val="ListParagraph"/>
        <w:numPr>
          <w:ilvl w:val="0"/>
          <w:numId w:val="1"/>
        </w:numPr>
        <w:tabs>
          <w:tab w:val="left" w:pos="522"/>
        </w:tabs>
        <w:spacing w:before="160"/>
        <w:ind w:firstLine="0"/>
        <w:jc w:val="both"/>
        <w:rPr>
          <w:sz w:val="20"/>
        </w:rPr>
      </w:pPr>
      <w:r>
        <w:rPr>
          <w:sz w:val="20"/>
        </w:rPr>
        <w:t xml:space="preserve">Resnick SM, Metter EJ, </w:t>
      </w:r>
      <w:proofErr w:type="spellStart"/>
      <w:r>
        <w:rPr>
          <w:sz w:val="20"/>
        </w:rPr>
        <w:t>Zonderman</w:t>
      </w:r>
      <w:proofErr w:type="spellEnd"/>
      <w:r>
        <w:rPr>
          <w:sz w:val="20"/>
        </w:rPr>
        <w:t xml:space="preserve"> AB. Estrogen replacement therapy and longitudinal decline in visual memory. A possible protective effect? Neurology. </w:t>
      </w:r>
      <w:proofErr w:type="gramStart"/>
      <w:r>
        <w:rPr>
          <w:sz w:val="20"/>
        </w:rPr>
        <w:t>1997;49:1491</w:t>
      </w:r>
      <w:proofErr w:type="gramEnd"/>
      <w:r>
        <w:rPr>
          <w:sz w:val="20"/>
        </w:rPr>
        <w:t>–1497.</w:t>
      </w:r>
    </w:p>
    <w:p w14:paraId="5BB317ED" w14:textId="77777777" w:rsidR="001B6ABB" w:rsidRDefault="00000000">
      <w:pPr>
        <w:pStyle w:val="ListParagraph"/>
        <w:numPr>
          <w:ilvl w:val="0"/>
          <w:numId w:val="1"/>
        </w:numPr>
        <w:tabs>
          <w:tab w:val="left" w:pos="522"/>
        </w:tabs>
        <w:ind w:firstLine="0"/>
        <w:jc w:val="both"/>
        <w:rPr>
          <w:sz w:val="20"/>
        </w:rPr>
      </w:pPr>
      <w:r>
        <w:rPr>
          <w:sz w:val="20"/>
        </w:rPr>
        <w:t>Hao J, Rapp PR, Janssen WGM, et al. Interactive effects of age</w:t>
      </w:r>
      <w:r>
        <w:rPr>
          <w:spacing w:val="-2"/>
          <w:sz w:val="20"/>
        </w:rPr>
        <w:t xml:space="preserve"> </w:t>
      </w:r>
      <w:r>
        <w:rPr>
          <w:sz w:val="20"/>
        </w:rPr>
        <w:t xml:space="preserve">and estrogen on cognition and pyramidal neurons in monkey pre- frontal cortex. Proc. Natl. Acad. Sci. U. S. A. </w:t>
      </w:r>
      <w:proofErr w:type="gramStart"/>
      <w:r>
        <w:rPr>
          <w:sz w:val="20"/>
        </w:rPr>
        <w:t>2007;104:11465</w:t>
      </w:r>
      <w:proofErr w:type="gramEnd"/>
      <w:r>
        <w:rPr>
          <w:sz w:val="20"/>
        </w:rPr>
        <w:t>– 11470.</w:t>
      </w:r>
    </w:p>
    <w:p w14:paraId="00A9C7C7" w14:textId="77777777" w:rsidR="001B6ABB" w:rsidRDefault="00000000">
      <w:pPr>
        <w:pStyle w:val="ListParagraph"/>
        <w:numPr>
          <w:ilvl w:val="0"/>
          <w:numId w:val="1"/>
        </w:numPr>
        <w:tabs>
          <w:tab w:val="left" w:pos="522"/>
        </w:tabs>
        <w:ind w:firstLine="0"/>
        <w:jc w:val="both"/>
        <w:rPr>
          <w:sz w:val="20"/>
        </w:rPr>
      </w:pPr>
      <w:proofErr w:type="spellStart"/>
      <w:r>
        <w:rPr>
          <w:sz w:val="20"/>
        </w:rPr>
        <w:t>Kohama</w:t>
      </w:r>
      <w:proofErr w:type="spellEnd"/>
      <w:r>
        <w:rPr>
          <w:sz w:val="20"/>
        </w:rPr>
        <w:t xml:space="preserve"> SG, Renner L, Landauer N, et al. Effect of Ovarian Hormone Therapy on Cognition in the Aged Female Rhesus Macaque. J. </w:t>
      </w:r>
      <w:proofErr w:type="spellStart"/>
      <w:r>
        <w:rPr>
          <w:sz w:val="20"/>
        </w:rPr>
        <w:t>Neurosci</w:t>
      </w:r>
      <w:proofErr w:type="spellEnd"/>
      <w:r>
        <w:rPr>
          <w:sz w:val="20"/>
        </w:rPr>
        <w:t xml:space="preserve">. </w:t>
      </w:r>
      <w:proofErr w:type="gramStart"/>
      <w:r>
        <w:rPr>
          <w:spacing w:val="-2"/>
          <w:sz w:val="20"/>
        </w:rPr>
        <w:t>2016;36:10416</w:t>
      </w:r>
      <w:proofErr w:type="gramEnd"/>
      <w:r>
        <w:rPr>
          <w:spacing w:val="-2"/>
          <w:sz w:val="20"/>
        </w:rPr>
        <w:t>–10424.</w:t>
      </w:r>
    </w:p>
    <w:p w14:paraId="0C61C742" w14:textId="77777777" w:rsidR="001B6ABB" w:rsidRDefault="00000000">
      <w:pPr>
        <w:pStyle w:val="ListParagraph"/>
        <w:numPr>
          <w:ilvl w:val="0"/>
          <w:numId w:val="1"/>
        </w:numPr>
        <w:tabs>
          <w:tab w:val="left" w:pos="522"/>
        </w:tabs>
        <w:spacing w:before="166" w:line="232" w:lineRule="auto"/>
        <w:ind w:right="40" w:firstLine="0"/>
        <w:jc w:val="both"/>
        <w:rPr>
          <w:sz w:val="20"/>
        </w:rPr>
      </w:pPr>
      <w:r>
        <w:rPr>
          <w:sz w:val="20"/>
        </w:rPr>
        <w:t>Gibbs RB. Long-term treatment with estrogen and progesterone enhances acquisition of a spatial memory task by ovariectomized aged rats</w:t>
      </w:r>
      <w:r>
        <w:rPr>
          <w:rFonts w:ascii="Segoe UI Symbol" w:hAnsi="Segoe UI Symbol"/>
          <w:sz w:val="20"/>
        </w:rPr>
        <w:t>☆</w:t>
      </w:r>
      <w:r>
        <w:rPr>
          <w:sz w:val="20"/>
        </w:rPr>
        <w:t xml:space="preserve">. </w:t>
      </w:r>
      <w:proofErr w:type="spellStart"/>
      <w:r>
        <w:rPr>
          <w:sz w:val="20"/>
        </w:rPr>
        <w:t>Neurobiol</w:t>
      </w:r>
      <w:proofErr w:type="spellEnd"/>
      <w:r>
        <w:rPr>
          <w:sz w:val="20"/>
        </w:rPr>
        <w:t xml:space="preserve">. Aging. </w:t>
      </w:r>
      <w:proofErr w:type="gramStart"/>
      <w:r>
        <w:rPr>
          <w:sz w:val="20"/>
        </w:rPr>
        <w:t>2000;21:107</w:t>
      </w:r>
      <w:proofErr w:type="gramEnd"/>
      <w:r>
        <w:rPr>
          <w:sz w:val="20"/>
        </w:rPr>
        <w:t>–116.</w:t>
      </w:r>
    </w:p>
    <w:p w14:paraId="1E25D7AB" w14:textId="77777777" w:rsidR="001B6ABB" w:rsidRDefault="00000000">
      <w:pPr>
        <w:pStyle w:val="ListParagraph"/>
        <w:numPr>
          <w:ilvl w:val="0"/>
          <w:numId w:val="1"/>
        </w:numPr>
        <w:tabs>
          <w:tab w:val="left" w:pos="522"/>
        </w:tabs>
        <w:spacing w:before="83"/>
        <w:ind w:right="110" w:firstLine="0"/>
        <w:jc w:val="both"/>
        <w:rPr>
          <w:sz w:val="20"/>
        </w:rPr>
      </w:pPr>
      <w:r>
        <w:br w:type="column"/>
      </w:r>
      <w:r>
        <w:rPr>
          <w:sz w:val="20"/>
        </w:rPr>
        <w:t>Gibbs RB. Estrogen Therapy and Cognition:</w:t>
      </w:r>
      <w:r>
        <w:rPr>
          <w:spacing w:val="40"/>
          <w:sz w:val="20"/>
        </w:rPr>
        <w:t xml:space="preserve"> </w:t>
      </w:r>
      <w:r>
        <w:rPr>
          <w:sz w:val="20"/>
        </w:rPr>
        <w:t xml:space="preserve">A Review of the Cholinergic Hypothesis. </w:t>
      </w:r>
      <w:proofErr w:type="spellStart"/>
      <w:r>
        <w:rPr>
          <w:sz w:val="20"/>
        </w:rPr>
        <w:t>Endocr</w:t>
      </w:r>
      <w:proofErr w:type="spellEnd"/>
      <w:r>
        <w:rPr>
          <w:sz w:val="20"/>
        </w:rPr>
        <w:t xml:space="preserve">. Rev. </w:t>
      </w:r>
      <w:proofErr w:type="gramStart"/>
      <w:r>
        <w:rPr>
          <w:sz w:val="20"/>
        </w:rPr>
        <w:t>2010;31:224</w:t>
      </w:r>
      <w:proofErr w:type="gramEnd"/>
      <w:r>
        <w:rPr>
          <w:sz w:val="20"/>
        </w:rPr>
        <w:t>–253.</w:t>
      </w:r>
    </w:p>
    <w:sectPr w:rsidR="001B6ABB">
      <w:pgSz w:w="11910" w:h="16840"/>
      <w:pgMar w:top="1660" w:right="1320" w:bottom="920" w:left="1340" w:header="1284" w:footer="721" w:gutter="0"/>
      <w:cols w:num="2" w:space="720" w:equalWidth="0">
        <w:col w:w="4304" w:space="565"/>
        <w:col w:w="43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8A144B" w14:textId="77777777" w:rsidR="00274F2B" w:rsidRDefault="00274F2B">
      <w:r>
        <w:separator/>
      </w:r>
    </w:p>
  </w:endnote>
  <w:endnote w:type="continuationSeparator" w:id="0">
    <w:p w14:paraId="5539AC5A" w14:textId="77777777" w:rsidR="00274F2B" w:rsidRDefault="00274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CE65C" w14:textId="77777777" w:rsidR="001B6ABB" w:rsidRDefault="00000000">
    <w:pPr>
      <w:pStyle w:val="BodyText"/>
      <w:spacing w:line="14" w:lineRule="auto"/>
      <w:ind w:left="0"/>
      <w:jc w:val="left"/>
    </w:pPr>
    <w:r>
      <w:rPr>
        <w:noProof/>
      </w:rPr>
      <mc:AlternateContent>
        <mc:Choice Requires="wps">
          <w:drawing>
            <wp:anchor distT="0" distB="0" distL="0" distR="0" simplePos="0" relativeHeight="487374848" behindDoc="1" locked="0" layoutInCell="1" allowOverlap="1" wp14:anchorId="317DDBE8" wp14:editId="446A25A1">
              <wp:simplePos x="0" y="0"/>
              <wp:positionH relativeFrom="page">
                <wp:posOffset>6384416</wp:posOffset>
              </wp:positionH>
              <wp:positionV relativeFrom="page">
                <wp:posOffset>9979862</wp:posOffset>
              </wp:positionV>
              <wp:extent cx="318135" cy="1536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14:paraId="58E725DB" w14:textId="77777777" w:rsidR="001B6ABB" w:rsidRDefault="00000000">
                          <w:pPr>
                            <w:pStyle w:val="BodyText"/>
                            <w:spacing w:line="225" w:lineRule="exact"/>
                            <w:ind w:left="20"/>
                            <w:jc w:val="left"/>
                            <w:rPr>
                              <w:rFonts w:ascii="Calibri"/>
                            </w:rPr>
                          </w:pPr>
                          <w:r>
                            <w:rPr>
                              <w:rFonts w:ascii="Calibri"/>
                              <w:color w:val="4471C4"/>
                            </w:rPr>
                            <w:t xml:space="preserve">pg. </w:t>
                          </w:r>
                          <w:r>
                            <w:rPr>
                              <w:rFonts w:ascii="Calibri"/>
                              <w:color w:val="4471C4"/>
                              <w:spacing w:val="-10"/>
                            </w:rPr>
                            <w:fldChar w:fldCharType="begin"/>
                          </w:r>
                          <w:r>
                            <w:rPr>
                              <w:rFonts w:ascii="Calibri"/>
                              <w:color w:val="4471C4"/>
                              <w:spacing w:val="-10"/>
                            </w:rPr>
                            <w:instrText xml:space="preserve"> PAGE </w:instrText>
                          </w:r>
                          <w:r>
                            <w:rPr>
                              <w:rFonts w:ascii="Calibri"/>
                              <w:color w:val="4471C4"/>
                              <w:spacing w:val="-10"/>
                            </w:rPr>
                            <w:fldChar w:fldCharType="separate"/>
                          </w:r>
                          <w:r>
                            <w:rPr>
                              <w:rFonts w:ascii="Calibri"/>
                              <w:color w:val="4471C4"/>
                              <w:spacing w:val="-10"/>
                            </w:rPr>
                            <w:t>6</w:t>
                          </w:r>
                          <w:r>
                            <w:rPr>
                              <w:rFonts w:ascii="Calibri"/>
                              <w:color w:val="4471C4"/>
                              <w:spacing w:val="-10"/>
                            </w:rPr>
                            <w:fldChar w:fldCharType="end"/>
                          </w:r>
                        </w:p>
                      </w:txbxContent>
                    </wps:txbx>
                    <wps:bodyPr wrap="square" lIns="0" tIns="0" rIns="0" bIns="0" rtlCol="0">
                      <a:noAutofit/>
                    </wps:bodyPr>
                  </wps:wsp>
                </a:graphicData>
              </a:graphic>
            </wp:anchor>
          </w:drawing>
        </mc:Choice>
        <mc:Fallback>
          <w:pict>
            <v:shapetype w14:anchorId="317DDBE8" id="_x0000_t202" coordsize="21600,21600" o:spt="202" path="m,l,21600r21600,l21600,xe">
              <v:stroke joinstyle="miter"/>
              <v:path gradientshapeok="t" o:connecttype="rect"/>
            </v:shapetype>
            <v:shape id="Textbox 12" o:spid="_x0000_s1034" type="#_x0000_t202" style="position:absolute;margin-left:502.7pt;margin-top:785.8pt;width:25.05pt;height:12.1pt;z-index:-159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" filled="f" stroked="f">
              <v:textbox inset="0,0,0,0">
                <w:txbxContent>
                  <w:p w14:paraId="58E725DB" w14:textId="77777777" w:rsidR="001B6ABB" w:rsidRDefault="00000000">
                    <w:pPr>
                      <w:pStyle w:val="BodyText"/>
                      <w:spacing w:line="225" w:lineRule="exact"/>
                      <w:ind w:left="20"/>
                      <w:jc w:val="left"/>
                      <w:rPr>
                        <w:rFonts w:ascii="Calibri"/>
                      </w:rPr>
                    </w:pPr>
                    <w:r>
                      <w:rPr>
                        <w:rFonts w:ascii="Calibri"/>
                        <w:color w:val="4471C4"/>
                      </w:rPr>
                      <w:t xml:space="preserve">pg. </w:t>
                    </w:r>
                    <w:r>
                      <w:rPr>
                        <w:rFonts w:ascii="Calibri"/>
                        <w:color w:val="4471C4"/>
                        <w:spacing w:val="-10"/>
                      </w:rPr>
                      <w:fldChar w:fldCharType="begin"/>
                    </w:r>
                    <w:r>
                      <w:rPr>
                        <w:rFonts w:ascii="Calibri"/>
                        <w:color w:val="4471C4"/>
                        <w:spacing w:val="-10"/>
                      </w:rPr>
                      <w:instrText xml:space="preserve"> PAGE </w:instrText>
                    </w:r>
                    <w:r>
                      <w:rPr>
                        <w:rFonts w:ascii="Calibri"/>
                        <w:color w:val="4471C4"/>
                        <w:spacing w:val="-10"/>
                      </w:rPr>
                      <w:fldChar w:fldCharType="separate"/>
                    </w:r>
                    <w:r>
                      <w:rPr>
                        <w:rFonts w:ascii="Calibri"/>
                        <w:color w:val="4471C4"/>
                        <w:spacing w:val="-10"/>
                      </w:rPr>
                      <w:t>6</w:t>
                    </w:r>
                    <w:r>
                      <w:rPr>
                        <w:rFonts w:ascii="Calibri"/>
                        <w:color w:val="4471C4"/>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CC305" w14:textId="77777777" w:rsidR="001B6ABB" w:rsidRDefault="00000000">
    <w:pPr>
      <w:pStyle w:val="BodyText"/>
      <w:spacing w:line="14" w:lineRule="auto"/>
      <w:ind w:left="0"/>
      <w:jc w:val="left"/>
    </w:pPr>
    <w:r>
      <w:rPr>
        <w:noProof/>
      </w:rPr>
      <mc:AlternateContent>
        <mc:Choice Requires="wps">
          <w:drawing>
            <wp:anchor distT="0" distB="0" distL="0" distR="0" simplePos="0" relativeHeight="487376384" behindDoc="1" locked="0" layoutInCell="1" allowOverlap="1" wp14:anchorId="6EEA5C22" wp14:editId="2FDD70B3">
              <wp:simplePos x="0" y="0"/>
              <wp:positionH relativeFrom="page">
                <wp:posOffset>902004</wp:posOffset>
              </wp:positionH>
              <wp:positionV relativeFrom="page">
                <wp:posOffset>10094887</wp:posOffset>
              </wp:positionV>
              <wp:extent cx="4349115" cy="1536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115" cy="153670"/>
                      </a:xfrm>
                      <a:prstGeom prst="rect">
                        <a:avLst/>
                      </a:prstGeom>
                    </wps:spPr>
                    <wps:txbx>
                      <w:txbxContent>
                        <w:p w14:paraId="5ADE34F9" w14:textId="77777777" w:rsidR="001B6ABB" w:rsidRDefault="00000000">
                          <w:pPr>
                            <w:spacing w:before="14"/>
                            <w:ind w:left="20"/>
                            <w:rPr>
                              <w:b/>
                              <w:sz w:val="18"/>
                            </w:rPr>
                          </w:pPr>
                          <w:r>
                            <w:rPr>
                              <w:b/>
                              <w:sz w:val="18"/>
                            </w:rPr>
                            <w:t>International</w:t>
                          </w:r>
                          <w:r>
                            <w:rPr>
                              <w:b/>
                              <w:spacing w:val="-6"/>
                              <w:sz w:val="18"/>
                            </w:rPr>
                            <w:t xml:space="preserve"> </w:t>
                          </w:r>
                          <w:r>
                            <w:rPr>
                              <w:b/>
                              <w:sz w:val="18"/>
                            </w:rPr>
                            <w:t>Journal</w:t>
                          </w:r>
                          <w:r>
                            <w:rPr>
                              <w:b/>
                              <w:spacing w:val="-7"/>
                              <w:sz w:val="18"/>
                            </w:rPr>
                            <w:t xml:space="preserve"> </w:t>
                          </w:r>
                          <w:r>
                            <w:rPr>
                              <w:b/>
                              <w:sz w:val="18"/>
                            </w:rPr>
                            <w:t>of</w:t>
                          </w:r>
                          <w:r>
                            <w:rPr>
                              <w:b/>
                              <w:spacing w:val="-4"/>
                              <w:sz w:val="18"/>
                            </w:rPr>
                            <w:t xml:space="preserve"> </w:t>
                          </w:r>
                          <w:r>
                            <w:rPr>
                              <w:b/>
                              <w:sz w:val="18"/>
                            </w:rPr>
                            <w:t>Research</w:t>
                          </w:r>
                          <w:r>
                            <w:rPr>
                              <w:b/>
                              <w:spacing w:val="-10"/>
                              <w:sz w:val="18"/>
                            </w:rPr>
                            <w:t xml:space="preserve"> </w:t>
                          </w:r>
                          <w:r>
                            <w:rPr>
                              <w:b/>
                              <w:sz w:val="18"/>
                            </w:rPr>
                            <w:t>Development</w:t>
                          </w:r>
                          <w:r>
                            <w:rPr>
                              <w:b/>
                              <w:spacing w:val="-4"/>
                              <w:sz w:val="18"/>
                            </w:rPr>
                            <w:t xml:space="preserve"> </w:t>
                          </w:r>
                          <w:r>
                            <w:rPr>
                              <w:b/>
                              <w:sz w:val="18"/>
                            </w:rPr>
                            <w:t>and</w:t>
                          </w:r>
                          <w:r>
                            <w:rPr>
                              <w:b/>
                              <w:spacing w:val="-6"/>
                              <w:sz w:val="18"/>
                            </w:rPr>
                            <w:t xml:space="preserve"> </w:t>
                          </w:r>
                          <w:r>
                            <w:rPr>
                              <w:b/>
                              <w:sz w:val="18"/>
                            </w:rPr>
                            <w:t>Technology</w:t>
                          </w:r>
                          <w:r>
                            <w:rPr>
                              <w:b/>
                              <w:spacing w:val="-9"/>
                              <w:sz w:val="18"/>
                            </w:rPr>
                            <w:t xml:space="preserve"> </w:t>
                          </w:r>
                          <w:r>
                            <w:rPr>
                              <w:b/>
                              <w:sz w:val="18"/>
                            </w:rPr>
                            <w:t>Vol.2|Issue.2</w:t>
                          </w:r>
                          <w:r>
                            <w:rPr>
                              <w:b/>
                              <w:spacing w:val="-9"/>
                              <w:sz w:val="18"/>
                            </w:rPr>
                            <w:t xml:space="preserve"> </w:t>
                          </w:r>
                          <w:r>
                            <w:rPr>
                              <w:b/>
                              <w:sz w:val="18"/>
                            </w:rPr>
                            <w:t>|Year</w:t>
                          </w:r>
                          <w:r>
                            <w:rPr>
                              <w:b/>
                              <w:spacing w:val="-11"/>
                              <w:sz w:val="18"/>
                            </w:rPr>
                            <w:t xml:space="preserve"> </w:t>
                          </w:r>
                          <w:r>
                            <w:rPr>
                              <w:b/>
                              <w:spacing w:val="-4"/>
                              <w:sz w:val="18"/>
                            </w:rPr>
                            <w:t>2024</w:t>
                          </w:r>
                        </w:p>
                      </w:txbxContent>
                    </wps:txbx>
                    <wps:bodyPr wrap="square" lIns="0" tIns="0" rIns="0" bIns="0" rtlCol="0">
                      <a:noAutofit/>
                    </wps:bodyPr>
                  </wps:wsp>
                </a:graphicData>
              </a:graphic>
            </wp:anchor>
          </w:drawing>
        </mc:Choice>
        <mc:Fallback>
          <w:pict>
            <v:shapetype w14:anchorId="6EEA5C22" id="_x0000_t202" coordsize="21600,21600" o:spt="202" path="m,l,21600r21600,l21600,xe">
              <v:stroke joinstyle="miter"/>
              <v:path gradientshapeok="t" o:connecttype="rect"/>
            </v:shapetype>
            <v:shape id="Textbox 26" o:spid="_x0000_s1037" type="#_x0000_t202" style="position:absolute;margin-left:71pt;margin-top:794.85pt;width:342.45pt;height:12.1pt;z-index:-159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" filled="f" stroked="f">
              <v:textbox inset="0,0,0,0">
                <w:txbxContent>
                  <w:p w14:paraId="5ADE34F9" w14:textId="77777777" w:rsidR="001B6ABB" w:rsidRDefault="00000000">
                    <w:pPr>
                      <w:spacing w:before="14"/>
                      <w:ind w:left="20"/>
                      <w:rPr>
                        <w:b/>
                        <w:sz w:val="18"/>
                      </w:rPr>
                    </w:pPr>
                    <w:r>
                      <w:rPr>
                        <w:b/>
                        <w:sz w:val="18"/>
                      </w:rPr>
                      <w:t>International</w:t>
                    </w:r>
                    <w:r>
                      <w:rPr>
                        <w:b/>
                        <w:spacing w:val="-6"/>
                        <w:sz w:val="18"/>
                      </w:rPr>
                      <w:t xml:space="preserve"> </w:t>
                    </w:r>
                    <w:r>
                      <w:rPr>
                        <w:b/>
                        <w:sz w:val="18"/>
                      </w:rPr>
                      <w:t>Journal</w:t>
                    </w:r>
                    <w:r>
                      <w:rPr>
                        <w:b/>
                        <w:spacing w:val="-7"/>
                        <w:sz w:val="18"/>
                      </w:rPr>
                      <w:t xml:space="preserve"> </w:t>
                    </w:r>
                    <w:r>
                      <w:rPr>
                        <w:b/>
                        <w:sz w:val="18"/>
                      </w:rPr>
                      <w:t>of</w:t>
                    </w:r>
                    <w:r>
                      <w:rPr>
                        <w:b/>
                        <w:spacing w:val="-4"/>
                        <w:sz w:val="18"/>
                      </w:rPr>
                      <w:t xml:space="preserve"> </w:t>
                    </w:r>
                    <w:r>
                      <w:rPr>
                        <w:b/>
                        <w:sz w:val="18"/>
                      </w:rPr>
                      <w:t>Research</w:t>
                    </w:r>
                    <w:r>
                      <w:rPr>
                        <w:b/>
                        <w:spacing w:val="-10"/>
                        <w:sz w:val="18"/>
                      </w:rPr>
                      <w:t xml:space="preserve"> </w:t>
                    </w:r>
                    <w:r>
                      <w:rPr>
                        <w:b/>
                        <w:sz w:val="18"/>
                      </w:rPr>
                      <w:t>Development</w:t>
                    </w:r>
                    <w:r>
                      <w:rPr>
                        <w:b/>
                        <w:spacing w:val="-4"/>
                        <w:sz w:val="18"/>
                      </w:rPr>
                      <w:t xml:space="preserve"> </w:t>
                    </w:r>
                    <w:r>
                      <w:rPr>
                        <w:b/>
                        <w:sz w:val="18"/>
                      </w:rPr>
                      <w:t>and</w:t>
                    </w:r>
                    <w:r>
                      <w:rPr>
                        <w:b/>
                        <w:spacing w:val="-6"/>
                        <w:sz w:val="18"/>
                      </w:rPr>
                      <w:t xml:space="preserve"> </w:t>
                    </w:r>
                    <w:r>
                      <w:rPr>
                        <w:b/>
                        <w:sz w:val="18"/>
                      </w:rPr>
                      <w:t>Technology</w:t>
                    </w:r>
                    <w:r>
                      <w:rPr>
                        <w:b/>
                        <w:spacing w:val="-9"/>
                        <w:sz w:val="18"/>
                      </w:rPr>
                      <w:t xml:space="preserve"> </w:t>
                    </w:r>
                    <w:r>
                      <w:rPr>
                        <w:b/>
                        <w:sz w:val="18"/>
                      </w:rPr>
                      <w:t>Vol.2|Issue.2</w:t>
                    </w:r>
                    <w:r>
                      <w:rPr>
                        <w:b/>
                        <w:spacing w:val="-9"/>
                        <w:sz w:val="18"/>
                      </w:rPr>
                      <w:t xml:space="preserve"> </w:t>
                    </w:r>
                    <w:r>
                      <w:rPr>
                        <w:b/>
                        <w:sz w:val="18"/>
                      </w:rPr>
                      <w:t>|Year</w:t>
                    </w:r>
                    <w:r>
                      <w:rPr>
                        <w:b/>
                        <w:spacing w:val="-11"/>
                        <w:sz w:val="18"/>
                      </w:rPr>
                      <w:t xml:space="preserve"> </w:t>
                    </w:r>
                    <w:r>
                      <w:rPr>
                        <w:b/>
                        <w:spacing w:val="-4"/>
                        <w:sz w:val="18"/>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ACC4C" w14:textId="77777777" w:rsidR="00274F2B" w:rsidRDefault="00274F2B">
      <w:r>
        <w:separator/>
      </w:r>
    </w:p>
  </w:footnote>
  <w:footnote w:type="continuationSeparator" w:id="0">
    <w:p w14:paraId="3763FF17" w14:textId="77777777" w:rsidR="00274F2B" w:rsidRDefault="00274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F6764" w14:textId="69910E1F" w:rsidR="001B6ABB" w:rsidRDefault="00354A51">
    <w:pPr>
      <w:pStyle w:val="BodyText"/>
      <w:spacing w:line="14" w:lineRule="auto"/>
      <w:ind w:left="0"/>
      <w:jc w:val="left"/>
    </w:pPr>
    <w:r>
      <w:rPr>
        <w:noProof/>
      </w:rPr>
      <mc:AlternateContent>
        <mc:Choice Requires="wps">
          <w:drawing>
            <wp:anchor distT="0" distB="0" distL="0" distR="0" simplePos="0" relativeHeight="251659264" behindDoc="1" locked="0" layoutInCell="1" allowOverlap="1" wp14:anchorId="30F92021" wp14:editId="7E4117D6">
              <wp:simplePos x="0" y="0"/>
              <wp:positionH relativeFrom="page">
                <wp:posOffset>5981700</wp:posOffset>
              </wp:positionH>
              <wp:positionV relativeFrom="page">
                <wp:posOffset>352425</wp:posOffset>
              </wp:positionV>
              <wp:extent cx="81915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09550"/>
                      </a:xfrm>
                      <a:prstGeom prst="rect">
                        <a:avLst/>
                      </a:prstGeom>
                    </wps:spPr>
                    <wps:txbx>
                      <w:txbxContent>
                        <w:p w14:paraId="1C2742AC" w14:textId="45519C54" w:rsidR="001B6ABB" w:rsidRDefault="00000000">
                          <w:pPr>
                            <w:spacing w:line="225" w:lineRule="exact"/>
                            <w:ind w:left="20"/>
                            <w:rPr>
                              <w:rFonts w:ascii="Calibri"/>
                              <w:b/>
                              <w:sz w:val="20"/>
                            </w:rPr>
                          </w:pPr>
                          <w:r>
                            <w:rPr>
                              <w:rFonts w:ascii="Calibri"/>
                              <w:b/>
                              <w:sz w:val="20"/>
                            </w:rPr>
                            <w:t>Page</w:t>
                          </w:r>
                          <w:r>
                            <w:rPr>
                              <w:rFonts w:ascii="Calibri"/>
                              <w:b/>
                              <w:spacing w:val="-1"/>
                              <w:sz w:val="20"/>
                            </w:rPr>
                            <w:t xml:space="preserve"> </w:t>
                          </w:r>
                          <w:r w:rsidR="00354A51">
                            <w:rPr>
                              <w:rFonts w:ascii="Calibri"/>
                              <w:b/>
                              <w:sz w:val="20"/>
                            </w:rPr>
                            <w:t>86</w:t>
                          </w:r>
                          <w:r>
                            <w:rPr>
                              <w:rFonts w:ascii="Calibri"/>
                              <w:b/>
                              <w:spacing w:val="-6"/>
                              <w:sz w:val="20"/>
                            </w:rPr>
                            <w:t xml:space="preserve"> </w:t>
                          </w:r>
                          <w:r>
                            <w:rPr>
                              <w:rFonts w:ascii="Calibri"/>
                              <w:b/>
                              <w:sz w:val="20"/>
                            </w:rPr>
                            <w:t>of</w:t>
                          </w:r>
                          <w:r>
                            <w:rPr>
                              <w:rFonts w:ascii="Calibri"/>
                              <w:b/>
                              <w:spacing w:val="-5"/>
                              <w:sz w:val="20"/>
                            </w:rPr>
                            <w:t xml:space="preserve"> </w:t>
                          </w:r>
                          <w:r w:rsidR="00354A51">
                            <w:rPr>
                              <w:rFonts w:ascii="Calibri"/>
                              <w:b/>
                              <w:spacing w:val="-5"/>
                              <w:sz w:val="20"/>
                            </w:rPr>
                            <w:t>99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0F92021" id="_x0000_t202" coordsize="21600,21600" o:spt="202" path="m,l,21600r21600,l21600,xe">
              <v:stroke joinstyle="miter"/>
              <v:path gradientshapeok="t" o:connecttype="rect"/>
            </v:shapetype>
            <v:shape id="Textbox 2" o:spid="_x0000_s1030" type="#_x0000_t202" style="position:absolute;margin-left:471pt;margin-top:27.75pt;width:64.5pt;height:1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" filled="f" stroked="f">
              <v:textbox inset="0,0,0,0">
                <w:txbxContent>
                  <w:p w14:paraId="1C2742AC" w14:textId="45519C54" w:rsidR="001B6ABB" w:rsidRDefault="00000000">
                    <w:pPr>
                      <w:spacing w:line="225" w:lineRule="exact"/>
                      <w:ind w:left="20"/>
                      <w:rPr>
                        <w:rFonts w:ascii="Calibri"/>
                        <w:b/>
                        <w:sz w:val="20"/>
                      </w:rPr>
                    </w:pPr>
                    <w:r>
                      <w:rPr>
                        <w:rFonts w:ascii="Calibri"/>
                        <w:b/>
                        <w:sz w:val="20"/>
                      </w:rPr>
                      <w:t>Page</w:t>
                    </w:r>
                    <w:r>
                      <w:rPr>
                        <w:rFonts w:ascii="Calibri"/>
                        <w:b/>
                        <w:spacing w:val="-1"/>
                        <w:sz w:val="20"/>
                      </w:rPr>
                      <w:t xml:space="preserve"> </w:t>
                    </w:r>
                    <w:r w:rsidR="00354A51">
                      <w:rPr>
                        <w:rFonts w:ascii="Calibri"/>
                        <w:b/>
                        <w:sz w:val="20"/>
                      </w:rPr>
                      <w:t>86</w:t>
                    </w:r>
                    <w:r>
                      <w:rPr>
                        <w:rFonts w:ascii="Calibri"/>
                        <w:b/>
                        <w:spacing w:val="-6"/>
                        <w:sz w:val="20"/>
                      </w:rPr>
                      <w:t xml:space="preserve"> </w:t>
                    </w:r>
                    <w:r>
                      <w:rPr>
                        <w:rFonts w:ascii="Calibri"/>
                        <w:b/>
                        <w:sz w:val="20"/>
                      </w:rPr>
                      <w:t>of</w:t>
                    </w:r>
                    <w:r>
                      <w:rPr>
                        <w:rFonts w:ascii="Calibri"/>
                        <w:b/>
                        <w:spacing w:val="-5"/>
                        <w:sz w:val="20"/>
                      </w:rPr>
                      <w:t xml:space="preserve"> </w:t>
                    </w:r>
                    <w:r w:rsidR="00354A51">
                      <w:rPr>
                        <w:rFonts w:ascii="Calibri"/>
                        <w:b/>
                        <w:spacing w:val="-5"/>
                        <w:sz w:val="20"/>
                      </w:rPr>
                      <w:t>99</w:t>
                    </w:r>
                  </w:p>
                </w:txbxContent>
              </v:textbox>
              <w10:wrap anchorx="page" anchory="page"/>
            </v:shape>
          </w:pict>
        </mc:Fallback>
      </mc:AlternateContent>
    </w:r>
    <w:r w:rsidR="00000000">
      <w:rPr>
        <w:noProof/>
      </w:rPr>
      <mc:AlternateContent>
        <mc:Choice Requires="wps">
          <w:drawing>
            <wp:anchor distT="0" distB="0" distL="0" distR="0" simplePos="0" relativeHeight="251657216" behindDoc="1" locked="0" layoutInCell="1" allowOverlap="1" wp14:anchorId="58F9364C" wp14:editId="68B0EF4A">
              <wp:simplePos x="0" y="0"/>
              <wp:positionH relativeFrom="page">
                <wp:posOffset>902004</wp:posOffset>
              </wp:positionH>
              <wp:positionV relativeFrom="page">
                <wp:posOffset>354583</wp:posOffset>
              </wp:positionV>
              <wp:extent cx="798830"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830" cy="153670"/>
                      </a:xfrm>
                      <a:prstGeom prst="rect">
                        <a:avLst/>
                      </a:prstGeom>
                    </wps:spPr>
                    <wps:txbx>
                      <w:txbxContent>
                        <w:p w14:paraId="708660E2" w14:textId="77777777" w:rsidR="001B6ABB" w:rsidRDefault="00000000">
                          <w:pPr>
                            <w:pStyle w:val="BodyText"/>
                            <w:spacing w:line="225" w:lineRule="exact"/>
                            <w:ind w:left="20"/>
                            <w:jc w:val="left"/>
                            <w:rPr>
                              <w:rFonts w:ascii="Calibri"/>
                            </w:rPr>
                          </w:pPr>
                          <w:hyperlink r:id="rId1">
                            <w:r>
                              <w:rPr>
                                <w:rFonts w:ascii="Calibri"/>
                                <w:color w:val="0462C1"/>
                                <w:spacing w:val="-2"/>
                                <w:u w:val="single" w:color="0462C1"/>
                              </w:rPr>
                              <w:t>www.ijrdt.com</w:t>
                            </w:r>
                          </w:hyperlink>
                        </w:p>
                      </w:txbxContent>
                    </wps:txbx>
                    <wps:bodyPr wrap="square" lIns="0" tIns="0" rIns="0" bIns="0" rtlCol="0">
                      <a:noAutofit/>
                    </wps:bodyPr>
                  </wps:wsp>
                </a:graphicData>
              </a:graphic>
            </wp:anchor>
          </w:drawing>
        </mc:Choice>
        <mc:Fallback>
          <w:pict>
            <v:shape w14:anchorId="58F9364C" id="Textbox 1" o:spid="_x0000_s1031" type="#_x0000_t202" style="position:absolute;margin-left:71pt;margin-top:27.9pt;width:62.9pt;height:12.1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" filled="f" stroked="f">
              <v:textbox inset="0,0,0,0">
                <w:txbxContent>
                  <w:p w14:paraId="708660E2" w14:textId="77777777" w:rsidR="001B6ABB" w:rsidRDefault="00000000">
                    <w:pPr>
                      <w:pStyle w:val="BodyText"/>
                      <w:spacing w:line="225" w:lineRule="exact"/>
                      <w:ind w:left="20"/>
                      <w:jc w:val="left"/>
                      <w:rPr>
                        <w:rFonts w:ascii="Calibri"/>
                      </w:rPr>
                    </w:pPr>
                    <w:hyperlink r:id="rId2">
                      <w:r>
                        <w:rPr>
                          <w:rFonts w:ascii="Calibri"/>
                          <w:color w:val="0462C1"/>
                          <w:spacing w:val="-2"/>
                          <w:u w:val="single" w:color="0462C1"/>
                        </w:rPr>
                        <w:t>www.ijrdt.com</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596AA" w14:textId="77777777" w:rsidR="001B6ABB" w:rsidRDefault="00000000">
    <w:pPr>
      <w:pStyle w:val="BodyText"/>
      <w:spacing w:line="14" w:lineRule="auto"/>
      <w:ind w:left="0"/>
      <w:jc w:val="left"/>
    </w:pPr>
    <w:r>
      <w:rPr>
        <w:noProof/>
      </w:rPr>
      <mc:AlternateContent>
        <mc:Choice Requires="wps">
          <w:drawing>
            <wp:anchor distT="0" distB="0" distL="0" distR="0" simplePos="0" relativeHeight="487373824" behindDoc="1" locked="0" layoutInCell="1" allowOverlap="1" wp14:anchorId="51EBD91F" wp14:editId="5FF56449">
              <wp:simplePos x="0" y="0"/>
              <wp:positionH relativeFrom="page">
                <wp:posOffset>902004</wp:posOffset>
              </wp:positionH>
              <wp:positionV relativeFrom="page">
                <wp:posOffset>354583</wp:posOffset>
              </wp:positionV>
              <wp:extent cx="798830"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830" cy="153670"/>
                      </a:xfrm>
                      <a:prstGeom prst="rect">
                        <a:avLst/>
                      </a:prstGeom>
                    </wps:spPr>
                    <wps:txbx>
                      <w:txbxContent>
                        <w:p w14:paraId="04D65D36" w14:textId="77777777" w:rsidR="001B6ABB" w:rsidRDefault="00000000">
                          <w:pPr>
                            <w:pStyle w:val="BodyText"/>
                            <w:spacing w:line="225" w:lineRule="exact"/>
                            <w:ind w:left="20"/>
                            <w:jc w:val="left"/>
                            <w:rPr>
                              <w:rFonts w:ascii="Calibri"/>
                            </w:rPr>
                          </w:pPr>
                          <w:hyperlink r:id="rId1">
                            <w:r>
                              <w:rPr>
                                <w:rFonts w:ascii="Calibri"/>
                                <w:color w:val="0462C1"/>
                                <w:spacing w:val="-2"/>
                                <w:u w:val="single" w:color="0462C1"/>
                              </w:rPr>
                              <w:t>www.ijrdt.com</w:t>
                            </w:r>
                          </w:hyperlink>
                        </w:p>
                      </w:txbxContent>
                    </wps:txbx>
                    <wps:bodyPr wrap="square" lIns="0" tIns="0" rIns="0" bIns="0" rtlCol="0">
                      <a:noAutofit/>
                    </wps:bodyPr>
                  </wps:wsp>
                </a:graphicData>
              </a:graphic>
            </wp:anchor>
          </w:drawing>
        </mc:Choice>
        <mc:Fallback>
          <w:pict>
            <v:shapetype w14:anchorId="51EBD91F" id="_x0000_t202" coordsize="21600,21600" o:spt="202" path="m,l,21600r21600,l21600,xe">
              <v:stroke joinstyle="miter"/>
              <v:path gradientshapeok="t" o:connecttype="rect"/>
            </v:shapetype>
            <v:shape id="Textbox 10" o:spid="_x0000_s1032" type="#_x0000_t202" style="position:absolute;margin-left:71pt;margin-top:27.9pt;width:62.9pt;height:12.1pt;z-index:-159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" filled="f" stroked="f">
              <v:textbox inset="0,0,0,0">
                <w:txbxContent>
                  <w:p w14:paraId="04D65D36" w14:textId="77777777" w:rsidR="001B6ABB" w:rsidRDefault="00000000">
                    <w:pPr>
                      <w:pStyle w:val="BodyText"/>
                      <w:spacing w:line="225" w:lineRule="exact"/>
                      <w:ind w:left="20"/>
                      <w:jc w:val="left"/>
                      <w:rPr>
                        <w:rFonts w:ascii="Calibri"/>
                      </w:rPr>
                    </w:pPr>
                    <w:hyperlink r:id="rId2">
                      <w:r>
                        <w:rPr>
                          <w:rFonts w:ascii="Calibri"/>
                          <w:color w:val="0462C1"/>
                          <w:spacing w:val="-2"/>
                          <w:u w:val="single" w:color="0462C1"/>
                        </w:rPr>
                        <w:t>www.ijrdt.com</w:t>
                      </w:r>
                    </w:hyperlink>
                  </w:p>
                </w:txbxContent>
              </v:textbox>
              <w10:wrap anchorx="page" anchory="page"/>
            </v:shape>
          </w:pict>
        </mc:Fallback>
      </mc:AlternateContent>
    </w:r>
    <w:r>
      <w:rPr>
        <w:noProof/>
      </w:rPr>
      <mc:AlternateContent>
        <mc:Choice Requires="wps">
          <w:drawing>
            <wp:anchor distT="0" distB="0" distL="0" distR="0" simplePos="0" relativeHeight="487374336" behindDoc="1" locked="0" layoutInCell="1" allowOverlap="1" wp14:anchorId="64151F2E" wp14:editId="195A1FAC">
              <wp:simplePos x="0" y="0"/>
              <wp:positionH relativeFrom="page">
                <wp:posOffset>5985128</wp:posOffset>
              </wp:positionH>
              <wp:positionV relativeFrom="page">
                <wp:posOffset>354583</wp:posOffset>
              </wp:positionV>
              <wp:extent cx="666115"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53670"/>
                      </a:xfrm>
                      <a:prstGeom prst="rect">
                        <a:avLst/>
                      </a:prstGeom>
                    </wps:spPr>
                    <wps:txbx>
                      <w:txbxContent>
                        <w:p w14:paraId="7BCED655" w14:textId="77777777" w:rsidR="001B6ABB" w:rsidRDefault="00000000">
                          <w:pPr>
                            <w:spacing w:line="225" w:lineRule="exact"/>
                            <w:ind w:left="20"/>
                            <w:rPr>
                              <w:rFonts w:ascii="Calibri"/>
                              <w:b/>
                              <w:sz w:val="20"/>
                            </w:rPr>
                          </w:pPr>
                          <w:r>
                            <w:rPr>
                              <w:rFonts w:ascii="Calibri"/>
                              <w:b/>
                              <w:sz w:val="20"/>
                            </w:rPr>
                            <w:t>Page</w:t>
                          </w:r>
                          <w:r>
                            <w:rPr>
                              <w:rFonts w:ascii="Calibri"/>
                              <w:b/>
                              <w:spacing w:val="-1"/>
                              <w:sz w:val="20"/>
                            </w:rPr>
                            <w:t xml:space="preserve"> </w:t>
                          </w:r>
                          <w:r>
                            <w:rPr>
                              <w:rFonts w:ascii="Calibri"/>
                              <w:b/>
                              <w:sz w:val="20"/>
                            </w:rPr>
                            <w:t>1</w:t>
                          </w:r>
                          <w:r>
                            <w:rPr>
                              <w:rFonts w:ascii="Calibri"/>
                              <w:b/>
                              <w:spacing w:val="-6"/>
                              <w:sz w:val="20"/>
                            </w:rPr>
                            <w:t xml:space="preserve"> </w:t>
                          </w:r>
                          <w:r>
                            <w:rPr>
                              <w:rFonts w:ascii="Calibri"/>
                              <w:b/>
                              <w:sz w:val="20"/>
                            </w:rPr>
                            <w:t>of</w:t>
                          </w:r>
                          <w:r>
                            <w:rPr>
                              <w:rFonts w:ascii="Calibri"/>
                              <w:b/>
                              <w:spacing w:val="-5"/>
                              <w:sz w:val="20"/>
                            </w:rPr>
                            <w:t xml:space="preserve"> 14</w:t>
                          </w:r>
                        </w:p>
                      </w:txbxContent>
                    </wps:txbx>
                    <wps:bodyPr wrap="square" lIns="0" tIns="0" rIns="0" bIns="0" rtlCol="0">
                      <a:noAutofit/>
                    </wps:bodyPr>
                  </wps:wsp>
                </a:graphicData>
              </a:graphic>
            </wp:anchor>
          </w:drawing>
        </mc:Choice>
        <mc:Fallback>
          <w:pict>
            <v:shape w14:anchorId="64151F2E" id="Textbox 11" o:spid="_x0000_s1033" type="#_x0000_t202" style="position:absolute;margin-left:471.25pt;margin-top:27.9pt;width:52.45pt;height:12.1pt;z-index:-159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" filled="f" stroked="f">
              <v:textbox inset="0,0,0,0">
                <w:txbxContent>
                  <w:p w14:paraId="7BCED655" w14:textId="77777777" w:rsidR="001B6ABB" w:rsidRDefault="00000000">
                    <w:pPr>
                      <w:spacing w:line="225" w:lineRule="exact"/>
                      <w:ind w:left="20"/>
                      <w:rPr>
                        <w:rFonts w:ascii="Calibri"/>
                        <w:b/>
                        <w:sz w:val="20"/>
                      </w:rPr>
                    </w:pPr>
                    <w:r>
                      <w:rPr>
                        <w:rFonts w:ascii="Calibri"/>
                        <w:b/>
                        <w:sz w:val="20"/>
                      </w:rPr>
                      <w:t>Page</w:t>
                    </w:r>
                    <w:r>
                      <w:rPr>
                        <w:rFonts w:ascii="Calibri"/>
                        <w:b/>
                        <w:spacing w:val="-1"/>
                        <w:sz w:val="20"/>
                      </w:rPr>
                      <w:t xml:space="preserve"> </w:t>
                    </w:r>
                    <w:r>
                      <w:rPr>
                        <w:rFonts w:ascii="Calibri"/>
                        <w:b/>
                        <w:sz w:val="20"/>
                      </w:rPr>
                      <w:t>1</w:t>
                    </w:r>
                    <w:r>
                      <w:rPr>
                        <w:rFonts w:ascii="Calibri"/>
                        <w:b/>
                        <w:spacing w:val="-6"/>
                        <w:sz w:val="20"/>
                      </w:rPr>
                      <w:t xml:space="preserve"> </w:t>
                    </w:r>
                    <w:r>
                      <w:rPr>
                        <w:rFonts w:ascii="Calibri"/>
                        <w:b/>
                        <w:sz w:val="20"/>
                      </w:rPr>
                      <w:t>of</w:t>
                    </w:r>
                    <w:r>
                      <w:rPr>
                        <w:rFonts w:ascii="Calibri"/>
                        <w:b/>
                        <w:spacing w:val="-5"/>
                        <w:sz w:val="20"/>
                      </w:rPr>
                      <w:t xml:space="preserve"> 14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8A726" w14:textId="77777777" w:rsidR="001B6ABB" w:rsidRDefault="00000000">
    <w:pPr>
      <w:pStyle w:val="BodyText"/>
      <w:spacing w:line="14" w:lineRule="auto"/>
      <w:ind w:left="0"/>
      <w:jc w:val="left"/>
    </w:pPr>
    <w:r>
      <w:rPr>
        <w:noProof/>
      </w:rPr>
      <mc:AlternateContent>
        <mc:Choice Requires="wps">
          <w:drawing>
            <wp:anchor distT="0" distB="0" distL="0" distR="0" simplePos="0" relativeHeight="487375360" behindDoc="1" locked="0" layoutInCell="1" allowOverlap="1" wp14:anchorId="37325CDE" wp14:editId="22218026">
              <wp:simplePos x="0" y="0"/>
              <wp:positionH relativeFrom="page">
                <wp:posOffset>902004</wp:posOffset>
              </wp:positionH>
              <wp:positionV relativeFrom="page">
                <wp:posOffset>802893</wp:posOffset>
              </wp:positionV>
              <wp:extent cx="798830" cy="1536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830" cy="153670"/>
                      </a:xfrm>
                      <a:prstGeom prst="rect">
                        <a:avLst/>
                      </a:prstGeom>
                    </wps:spPr>
                    <wps:txbx>
                      <w:txbxContent>
                        <w:p w14:paraId="5523B5B6" w14:textId="77777777" w:rsidR="001B6ABB" w:rsidRDefault="00000000">
                          <w:pPr>
                            <w:pStyle w:val="BodyText"/>
                            <w:spacing w:line="225" w:lineRule="exact"/>
                            <w:ind w:left="20"/>
                            <w:jc w:val="left"/>
                            <w:rPr>
                              <w:rFonts w:ascii="Calibri"/>
                            </w:rPr>
                          </w:pPr>
                          <w:hyperlink r:id="rId1">
                            <w:r>
                              <w:rPr>
                                <w:rFonts w:ascii="Calibri"/>
                                <w:color w:val="0462C1"/>
                                <w:spacing w:val="-2"/>
                                <w:u w:val="single" w:color="0462C1"/>
                              </w:rPr>
                              <w:t>www.ijrdt.com</w:t>
                            </w:r>
                          </w:hyperlink>
                        </w:p>
                      </w:txbxContent>
                    </wps:txbx>
                    <wps:bodyPr wrap="square" lIns="0" tIns="0" rIns="0" bIns="0" rtlCol="0">
                      <a:noAutofit/>
                    </wps:bodyPr>
                  </wps:wsp>
                </a:graphicData>
              </a:graphic>
            </wp:anchor>
          </w:drawing>
        </mc:Choice>
        <mc:Fallback>
          <w:pict>
            <v:shapetype w14:anchorId="37325CDE" id="_x0000_t202" coordsize="21600,21600" o:spt="202" path="m,l,21600r21600,l21600,xe">
              <v:stroke joinstyle="miter"/>
              <v:path gradientshapeok="t" o:connecttype="rect"/>
            </v:shapetype>
            <v:shape id="Textbox 24" o:spid="_x0000_s1035" type="#_x0000_t202" style="position:absolute;margin-left:71pt;margin-top:63.2pt;width:62.9pt;height:12.1pt;z-index:-159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" filled="f" stroked="f">
              <v:textbox inset="0,0,0,0">
                <w:txbxContent>
                  <w:p w14:paraId="5523B5B6" w14:textId="77777777" w:rsidR="001B6ABB" w:rsidRDefault="00000000">
                    <w:pPr>
                      <w:pStyle w:val="BodyText"/>
                      <w:spacing w:line="225" w:lineRule="exact"/>
                      <w:ind w:left="20"/>
                      <w:jc w:val="left"/>
                      <w:rPr>
                        <w:rFonts w:ascii="Calibri"/>
                      </w:rPr>
                    </w:pPr>
                    <w:hyperlink r:id="rId2">
                      <w:r>
                        <w:rPr>
                          <w:rFonts w:ascii="Calibri"/>
                          <w:color w:val="0462C1"/>
                          <w:spacing w:val="-2"/>
                          <w:u w:val="single" w:color="0462C1"/>
                        </w:rPr>
                        <w:t>www.ijrdt.com</w:t>
                      </w:r>
                    </w:hyperlink>
                  </w:p>
                </w:txbxContent>
              </v:textbox>
              <w10:wrap anchorx="page" anchory="page"/>
            </v:shape>
          </w:pict>
        </mc:Fallback>
      </mc:AlternateContent>
    </w:r>
    <w:r>
      <w:rPr>
        <w:noProof/>
      </w:rPr>
      <mc:AlternateContent>
        <mc:Choice Requires="wps">
          <w:drawing>
            <wp:anchor distT="0" distB="0" distL="0" distR="0" simplePos="0" relativeHeight="487375872" behindDoc="1" locked="0" layoutInCell="1" allowOverlap="1" wp14:anchorId="7A3E00ED" wp14:editId="37B67D1C">
              <wp:simplePos x="0" y="0"/>
              <wp:positionH relativeFrom="page">
                <wp:posOffset>5985128</wp:posOffset>
              </wp:positionH>
              <wp:positionV relativeFrom="page">
                <wp:posOffset>802893</wp:posOffset>
              </wp:positionV>
              <wp:extent cx="666115" cy="1536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153670"/>
                      </a:xfrm>
                      <a:prstGeom prst="rect">
                        <a:avLst/>
                      </a:prstGeom>
                    </wps:spPr>
                    <wps:txbx>
                      <w:txbxContent>
                        <w:p w14:paraId="2F9E3671" w14:textId="77777777" w:rsidR="001B6ABB" w:rsidRDefault="00000000">
                          <w:pPr>
                            <w:spacing w:line="225" w:lineRule="exact"/>
                            <w:ind w:left="20"/>
                            <w:rPr>
                              <w:rFonts w:ascii="Calibri"/>
                              <w:b/>
                              <w:sz w:val="20"/>
                            </w:rPr>
                          </w:pPr>
                          <w:r>
                            <w:rPr>
                              <w:rFonts w:ascii="Calibri"/>
                              <w:b/>
                              <w:sz w:val="20"/>
                            </w:rPr>
                            <w:t>Page</w:t>
                          </w:r>
                          <w:r>
                            <w:rPr>
                              <w:rFonts w:ascii="Calibri"/>
                              <w:b/>
                              <w:spacing w:val="-1"/>
                              <w:sz w:val="20"/>
                            </w:rPr>
                            <w:t xml:space="preserve"> </w:t>
                          </w:r>
                          <w:r>
                            <w:rPr>
                              <w:rFonts w:ascii="Calibri"/>
                              <w:b/>
                              <w:sz w:val="20"/>
                            </w:rPr>
                            <w:t>1</w:t>
                          </w:r>
                          <w:r>
                            <w:rPr>
                              <w:rFonts w:ascii="Calibri"/>
                              <w:b/>
                              <w:spacing w:val="-6"/>
                              <w:sz w:val="20"/>
                            </w:rPr>
                            <w:t xml:space="preserve"> </w:t>
                          </w:r>
                          <w:r>
                            <w:rPr>
                              <w:rFonts w:ascii="Calibri"/>
                              <w:b/>
                              <w:sz w:val="20"/>
                            </w:rPr>
                            <w:t>of</w:t>
                          </w:r>
                          <w:r>
                            <w:rPr>
                              <w:rFonts w:ascii="Calibri"/>
                              <w:b/>
                              <w:spacing w:val="-5"/>
                              <w:sz w:val="20"/>
                            </w:rPr>
                            <w:t xml:space="preserve"> 14</w:t>
                          </w:r>
                        </w:p>
                      </w:txbxContent>
                    </wps:txbx>
                    <wps:bodyPr wrap="square" lIns="0" tIns="0" rIns="0" bIns="0" rtlCol="0">
                      <a:noAutofit/>
                    </wps:bodyPr>
                  </wps:wsp>
                </a:graphicData>
              </a:graphic>
            </wp:anchor>
          </w:drawing>
        </mc:Choice>
        <mc:Fallback>
          <w:pict>
            <v:shape w14:anchorId="7A3E00ED" id="Textbox 25" o:spid="_x0000_s1036" type="#_x0000_t202" style="position:absolute;margin-left:471.25pt;margin-top:63.2pt;width:52.45pt;height:12.1pt;z-index:-159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" filled="f" stroked="f">
              <v:textbox inset="0,0,0,0">
                <w:txbxContent>
                  <w:p w14:paraId="2F9E3671" w14:textId="77777777" w:rsidR="001B6ABB" w:rsidRDefault="00000000">
                    <w:pPr>
                      <w:spacing w:line="225" w:lineRule="exact"/>
                      <w:ind w:left="20"/>
                      <w:rPr>
                        <w:rFonts w:ascii="Calibri"/>
                        <w:b/>
                        <w:sz w:val="20"/>
                      </w:rPr>
                    </w:pPr>
                    <w:r>
                      <w:rPr>
                        <w:rFonts w:ascii="Calibri"/>
                        <w:b/>
                        <w:sz w:val="20"/>
                      </w:rPr>
                      <w:t>Page</w:t>
                    </w:r>
                    <w:r>
                      <w:rPr>
                        <w:rFonts w:ascii="Calibri"/>
                        <w:b/>
                        <w:spacing w:val="-1"/>
                        <w:sz w:val="20"/>
                      </w:rPr>
                      <w:t xml:space="preserve"> </w:t>
                    </w:r>
                    <w:r>
                      <w:rPr>
                        <w:rFonts w:ascii="Calibri"/>
                        <w:b/>
                        <w:sz w:val="20"/>
                      </w:rPr>
                      <w:t>1</w:t>
                    </w:r>
                    <w:r>
                      <w:rPr>
                        <w:rFonts w:ascii="Calibri"/>
                        <w:b/>
                        <w:spacing w:val="-6"/>
                        <w:sz w:val="20"/>
                      </w:rPr>
                      <w:t xml:space="preserve"> </w:t>
                    </w:r>
                    <w:r>
                      <w:rPr>
                        <w:rFonts w:ascii="Calibri"/>
                        <w:b/>
                        <w:sz w:val="20"/>
                      </w:rPr>
                      <w:t>of</w:t>
                    </w:r>
                    <w:r>
                      <w:rPr>
                        <w:rFonts w:ascii="Calibri"/>
                        <w:b/>
                        <w:spacing w:val="-5"/>
                        <w:sz w:val="20"/>
                      </w:rPr>
                      <w:t xml:space="preserve"> 14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13CBD"/>
    <w:multiLevelType w:val="hybridMultilevel"/>
    <w:tmpl w:val="C292E4B4"/>
    <w:lvl w:ilvl="0" w:tplc="7A5C86AE">
      <w:start w:val="1"/>
      <w:numFmt w:val="decimal"/>
      <w:lvlText w:val="%1."/>
      <w:lvlJc w:val="left"/>
      <w:pPr>
        <w:ind w:left="100" w:hanging="423"/>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45DC72B4">
      <w:numFmt w:val="bullet"/>
      <w:lvlText w:val="•"/>
      <w:lvlJc w:val="left"/>
      <w:pPr>
        <w:ind w:left="520" w:hanging="423"/>
      </w:pPr>
      <w:rPr>
        <w:rFonts w:hint="default"/>
        <w:lang w:val="en-US" w:eastAsia="en-US" w:bidi="ar-SA"/>
      </w:rPr>
    </w:lvl>
    <w:lvl w:ilvl="2" w:tplc="064C1110">
      <w:numFmt w:val="bullet"/>
      <w:lvlText w:val="•"/>
      <w:lvlJc w:val="left"/>
      <w:pPr>
        <w:ind w:left="941" w:hanging="423"/>
      </w:pPr>
      <w:rPr>
        <w:rFonts w:hint="default"/>
        <w:lang w:val="en-US" w:eastAsia="en-US" w:bidi="ar-SA"/>
      </w:rPr>
    </w:lvl>
    <w:lvl w:ilvl="3" w:tplc="0E08B3C8">
      <w:numFmt w:val="bullet"/>
      <w:lvlText w:val="•"/>
      <w:lvlJc w:val="left"/>
      <w:pPr>
        <w:ind w:left="1361" w:hanging="423"/>
      </w:pPr>
      <w:rPr>
        <w:rFonts w:hint="default"/>
        <w:lang w:val="en-US" w:eastAsia="en-US" w:bidi="ar-SA"/>
      </w:rPr>
    </w:lvl>
    <w:lvl w:ilvl="4" w:tplc="9668B1E6">
      <w:numFmt w:val="bullet"/>
      <w:lvlText w:val="•"/>
      <w:lvlJc w:val="left"/>
      <w:pPr>
        <w:ind w:left="1782" w:hanging="423"/>
      </w:pPr>
      <w:rPr>
        <w:rFonts w:hint="default"/>
        <w:lang w:val="en-US" w:eastAsia="en-US" w:bidi="ar-SA"/>
      </w:rPr>
    </w:lvl>
    <w:lvl w:ilvl="5" w:tplc="4C34F36C">
      <w:numFmt w:val="bullet"/>
      <w:lvlText w:val="•"/>
      <w:lvlJc w:val="left"/>
      <w:pPr>
        <w:ind w:left="2202" w:hanging="423"/>
      </w:pPr>
      <w:rPr>
        <w:rFonts w:hint="default"/>
        <w:lang w:val="en-US" w:eastAsia="en-US" w:bidi="ar-SA"/>
      </w:rPr>
    </w:lvl>
    <w:lvl w:ilvl="6" w:tplc="276C9C70">
      <w:numFmt w:val="bullet"/>
      <w:lvlText w:val="•"/>
      <w:lvlJc w:val="left"/>
      <w:pPr>
        <w:ind w:left="2623" w:hanging="423"/>
      </w:pPr>
      <w:rPr>
        <w:rFonts w:hint="default"/>
        <w:lang w:val="en-US" w:eastAsia="en-US" w:bidi="ar-SA"/>
      </w:rPr>
    </w:lvl>
    <w:lvl w:ilvl="7" w:tplc="F098782C">
      <w:numFmt w:val="bullet"/>
      <w:lvlText w:val="•"/>
      <w:lvlJc w:val="left"/>
      <w:pPr>
        <w:ind w:left="3044" w:hanging="423"/>
      </w:pPr>
      <w:rPr>
        <w:rFonts w:hint="default"/>
        <w:lang w:val="en-US" w:eastAsia="en-US" w:bidi="ar-SA"/>
      </w:rPr>
    </w:lvl>
    <w:lvl w:ilvl="8" w:tplc="C8BA016A">
      <w:numFmt w:val="bullet"/>
      <w:lvlText w:val="•"/>
      <w:lvlJc w:val="left"/>
      <w:pPr>
        <w:ind w:left="3464" w:hanging="423"/>
      </w:pPr>
      <w:rPr>
        <w:rFonts w:hint="default"/>
        <w:lang w:val="en-US" w:eastAsia="en-US" w:bidi="ar-SA"/>
      </w:rPr>
    </w:lvl>
  </w:abstractNum>
  <w:num w:numId="1" w16cid:durableId="774253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B6ABB"/>
    <w:rsid w:val="001B6ABB"/>
    <w:rsid w:val="00274F2B"/>
    <w:rsid w:val="00354A51"/>
    <w:rsid w:val="00B26E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67AAA"/>
  <w15:docId w15:val="{002ECCAD-6D31-4EB8-BF7C-28277C3EE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7"/>
      <w:ind w:left="900"/>
      <w:outlineLvl w:val="0"/>
    </w:pPr>
    <w:rPr>
      <w:b/>
      <w:bCs/>
      <w:sz w:val="20"/>
      <w:szCs w:val="20"/>
    </w:rPr>
  </w:style>
  <w:style w:type="paragraph" w:styleId="Heading2">
    <w:name w:val="heading 2"/>
    <w:basedOn w:val="Normal"/>
    <w:uiPriority w:val="9"/>
    <w:unhideWhenUsed/>
    <w:qFormat/>
    <w:pPr>
      <w:ind w:left="900"/>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jc w:val="both"/>
    </w:pPr>
    <w:rPr>
      <w:sz w:val="20"/>
      <w:szCs w:val="20"/>
    </w:rPr>
  </w:style>
  <w:style w:type="paragraph" w:styleId="Title">
    <w:name w:val="Title"/>
    <w:basedOn w:val="Normal"/>
    <w:uiPriority w:val="10"/>
    <w:qFormat/>
    <w:pPr>
      <w:ind w:left="1496" w:right="2063"/>
      <w:jc w:val="center"/>
    </w:pPr>
    <w:rPr>
      <w:b/>
      <w:bCs/>
      <w:sz w:val="28"/>
      <w:szCs w:val="28"/>
    </w:rPr>
  </w:style>
  <w:style w:type="paragraph" w:styleId="ListParagraph">
    <w:name w:val="List Paragraph"/>
    <w:basedOn w:val="Normal"/>
    <w:uiPriority w:val="1"/>
    <w:qFormat/>
    <w:pPr>
      <w:spacing w:before="161"/>
      <w:ind w:left="100" w:right="3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4A51"/>
    <w:pPr>
      <w:tabs>
        <w:tab w:val="center" w:pos="4513"/>
        <w:tab w:val="right" w:pos="9026"/>
      </w:tabs>
    </w:pPr>
  </w:style>
  <w:style w:type="character" w:customStyle="1" w:styleId="HeaderChar">
    <w:name w:val="Header Char"/>
    <w:basedOn w:val="DefaultParagraphFont"/>
    <w:link w:val="Header"/>
    <w:uiPriority w:val="99"/>
    <w:rsid w:val="00354A51"/>
    <w:rPr>
      <w:rFonts w:ascii="Times New Roman" w:eastAsia="Times New Roman" w:hAnsi="Times New Roman" w:cs="Times New Roman"/>
    </w:rPr>
  </w:style>
  <w:style w:type="paragraph" w:styleId="Footer">
    <w:name w:val="footer"/>
    <w:basedOn w:val="Normal"/>
    <w:link w:val="FooterChar"/>
    <w:uiPriority w:val="99"/>
    <w:unhideWhenUsed/>
    <w:rsid w:val="00354A51"/>
    <w:pPr>
      <w:tabs>
        <w:tab w:val="center" w:pos="4513"/>
        <w:tab w:val="right" w:pos="9026"/>
      </w:tabs>
    </w:pPr>
  </w:style>
  <w:style w:type="character" w:customStyle="1" w:styleId="FooterChar">
    <w:name w:val="Footer Char"/>
    <w:basedOn w:val="DefaultParagraphFont"/>
    <w:link w:val="Footer"/>
    <w:uiPriority w:val="99"/>
    <w:rsid w:val="00354A5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ijrdt.com/"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vekjeetsingh0987@gmail.com"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ijrdt.com/"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hyperlink" Target="http://www.ijrdt.com/" TargetMode="External"/><Relationship Id="rId1" Type="http://schemas.openxmlformats.org/officeDocument/2006/relationships/hyperlink" Target="http://www.ijrdt.com/"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ijrdt.com/" TargetMode="External"/><Relationship Id="rId1" Type="http://schemas.openxmlformats.org/officeDocument/2006/relationships/hyperlink" Target="http://www.ijrdt.com/"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ijrdt.com/" TargetMode="External"/><Relationship Id="rId1" Type="http://schemas.openxmlformats.org/officeDocument/2006/relationships/hyperlink" Target="http://www.ijrd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7386</Words>
  <Characters>42103</Characters>
  <Application>Microsoft Office Word</Application>
  <DocSecurity>0</DocSecurity>
  <Lines>350</Lines>
  <Paragraphs>98</Paragraphs>
  <ScaleCrop>false</ScaleCrop>
  <Company/>
  <LinksUpToDate>false</LinksUpToDate>
  <CharactersWithSpaces>49391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avita</dc:creator>
  <cp:lastModifiedBy>7</cp:lastModifiedBy>
  <cp:revision>2</cp:revision>
  <dcterms:created xsi:type="dcterms:W3CDTF">2024-08-17T07:09:00Z</dcterms:created>
  <dcterms:modified xsi:type="dcterms:W3CDTF">2024-08-17T07:14:00Z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2024-08-14T00:00:00Z</vt:filetime>
  </property>
  <property fmtid="{D5CDD505-2E9C-101B-9397-08002B2CF9AE}" pid="3" name="Creator">
    <vt:lpwstr>Microsoft® Word 2016</vt:lpwstr>
  </property>
  <property fmtid="{D5CDD505-2E9C-101B-9397-08002B2CF9AE}" pid="4" name="LastSaved">
    <vt:filetime>2024-08-17T00:00:00Z</vt:filetime>
  </property>
  <property fmtid="{D5CDD505-2E9C-101B-9397-08002B2CF9AE}" pid="5" name="Producer">
    <vt:lpwstr>www.ilovepdf.com</vt:lpwstr>
  </property>
</Properties>
</file>